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A930" w14:textId="69B51F95" w:rsidR="00021F25" w:rsidRPr="00C51409" w:rsidRDefault="003B448E" w:rsidP="00AE4B2B">
      <w:pPr>
        <w:pBdr>
          <w:top w:val="nil"/>
          <w:left w:val="nil"/>
          <w:bottom w:val="nil"/>
          <w:right w:val="nil"/>
          <w:between w:val="nil"/>
        </w:pBdr>
        <w:shd w:val="clear" w:color="auto" w:fill="000000" w:themeFill="text1"/>
        <w:jc w:val="center"/>
        <w:rPr>
          <w:rFonts w:ascii="Times New Roman" w:hAnsi="Times New Roman" w:cs="Times New Roman"/>
          <w:sz w:val="23"/>
          <w:szCs w:val="23"/>
        </w:rPr>
      </w:pPr>
      <w:r w:rsidRPr="00C51409">
        <w:rPr>
          <w:rFonts w:ascii="Times New Roman" w:eastAsia="Times New Roman" w:hAnsi="Times New Roman" w:cs="Times New Roman"/>
          <w:b/>
          <w:sz w:val="23"/>
          <w:szCs w:val="23"/>
        </w:rPr>
        <w:t xml:space="preserve">ATA DE REGISTRO DE PREÇOS Nº </w:t>
      </w:r>
      <w:r w:rsidR="00F43125" w:rsidRPr="00C51409">
        <w:rPr>
          <w:rFonts w:ascii="Times New Roman" w:eastAsia="Times New Roman" w:hAnsi="Times New Roman" w:cs="Times New Roman"/>
          <w:b/>
          <w:sz w:val="23"/>
          <w:szCs w:val="23"/>
        </w:rPr>
        <w:t>3</w:t>
      </w:r>
      <w:r w:rsidR="00AE4B2B" w:rsidRPr="00C51409">
        <w:rPr>
          <w:rFonts w:ascii="Times New Roman" w:eastAsia="Times New Roman" w:hAnsi="Times New Roman" w:cs="Times New Roman"/>
          <w:b/>
          <w:sz w:val="23"/>
          <w:szCs w:val="23"/>
        </w:rPr>
        <w:t>/2022</w:t>
      </w:r>
    </w:p>
    <w:p w14:paraId="3296A931" w14:textId="69541225" w:rsidR="00021F25" w:rsidRPr="00C51409" w:rsidRDefault="003B448E" w:rsidP="00AE4B2B">
      <w:pPr>
        <w:pBdr>
          <w:top w:val="nil"/>
          <w:left w:val="nil"/>
          <w:bottom w:val="nil"/>
          <w:right w:val="nil"/>
          <w:between w:val="nil"/>
        </w:pBdr>
        <w:shd w:val="clear" w:color="auto" w:fill="000000" w:themeFill="text1"/>
        <w:jc w:val="center"/>
        <w:rPr>
          <w:rFonts w:ascii="Times New Roman" w:eastAsia="Times New Roman" w:hAnsi="Times New Roman" w:cs="Times New Roman"/>
          <w:b/>
          <w:sz w:val="23"/>
          <w:szCs w:val="23"/>
        </w:rPr>
      </w:pPr>
      <w:r w:rsidRPr="00C51409">
        <w:rPr>
          <w:rFonts w:ascii="Times New Roman" w:eastAsia="Times New Roman" w:hAnsi="Times New Roman" w:cs="Times New Roman"/>
          <w:b/>
          <w:sz w:val="23"/>
          <w:szCs w:val="23"/>
        </w:rPr>
        <w:t xml:space="preserve">Pregão Eletrônico nº </w:t>
      </w:r>
      <w:r w:rsidR="00FC3669" w:rsidRPr="00C51409">
        <w:rPr>
          <w:rFonts w:ascii="Times New Roman" w:eastAsia="Times New Roman" w:hAnsi="Times New Roman" w:cs="Times New Roman"/>
          <w:b/>
          <w:sz w:val="23"/>
          <w:szCs w:val="23"/>
        </w:rPr>
        <w:t>4</w:t>
      </w:r>
      <w:r w:rsidR="00AE4B2B" w:rsidRPr="00C51409">
        <w:rPr>
          <w:rFonts w:ascii="Times New Roman" w:eastAsia="Times New Roman" w:hAnsi="Times New Roman" w:cs="Times New Roman"/>
          <w:b/>
          <w:sz w:val="23"/>
          <w:szCs w:val="23"/>
        </w:rPr>
        <w:t>/2022</w:t>
      </w:r>
    </w:p>
    <w:p w14:paraId="3296A932" w14:textId="7D6CE24E" w:rsidR="00021F25" w:rsidRPr="00C51409" w:rsidRDefault="003B448E" w:rsidP="00AE4B2B">
      <w:pPr>
        <w:pBdr>
          <w:top w:val="nil"/>
          <w:left w:val="nil"/>
          <w:bottom w:val="nil"/>
          <w:right w:val="nil"/>
          <w:between w:val="nil"/>
        </w:pBdr>
        <w:shd w:val="clear" w:color="auto" w:fill="000000" w:themeFill="text1"/>
        <w:jc w:val="center"/>
        <w:rPr>
          <w:rFonts w:ascii="Times New Roman" w:eastAsia="Times New Roman" w:hAnsi="Times New Roman" w:cs="Times New Roman"/>
          <w:sz w:val="23"/>
          <w:szCs w:val="23"/>
        </w:rPr>
      </w:pPr>
      <w:r w:rsidRPr="00C51409">
        <w:rPr>
          <w:rFonts w:ascii="Times New Roman" w:eastAsia="Times New Roman" w:hAnsi="Times New Roman" w:cs="Times New Roman"/>
          <w:sz w:val="23"/>
          <w:szCs w:val="23"/>
        </w:rPr>
        <w:t xml:space="preserve">Processo nº </w:t>
      </w:r>
      <w:r w:rsidR="00907BCE" w:rsidRPr="00C51409">
        <w:rPr>
          <w:rFonts w:ascii="Times New Roman" w:eastAsia="Times New Roman" w:hAnsi="Times New Roman" w:cs="Times New Roman"/>
          <w:sz w:val="23"/>
          <w:szCs w:val="23"/>
        </w:rPr>
        <w:t>20</w:t>
      </w:r>
      <w:r w:rsidR="005413C2" w:rsidRPr="00C51409">
        <w:rPr>
          <w:rFonts w:ascii="Times New Roman" w:eastAsia="Times New Roman" w:hAnsi="Times New Roman" w:cs="Times New Roman"/>
          <w:sz w:val="23"/>
          <w:szCs w:val="23"/>
        </w:rPr>
        <w:t>.</w:t>
      </w:r>
      <w:r w:rsidR="00907BCE" w:rsidRPr="00C51409">
        <w:rPr>
          <w:rFonts w:ascii="Times New Roman" w:eastAsia="Times New Roman" w:hAnsi="Times New Roman" w:cs="Times New Roman"/>
          <w:sz w:val="23"/>
          <w:szCs w:val="23"/>
        </w:rPr>
        <w:t>060</w:t>
      </w:r>
      <w:r w:rsidR="00AE4B2B" w:rsidRPr="00C51409">
        <w:rPr>
          <w:rFonts w:ascii="Times New Roman" w:eastAsia="Times New Roman" w:hAnsi="Times New Roman" w:cs="Times New Roman"/>
          <w:sz w:val="23"/>
          <w:szCs w:val="23"/>
        </w:rPr>
        <w:t>/2022</w:t>
      </w:r>
    </w:p>
    <w:p w14:paraId="3296A933" w14:textId="3F7230AB" w:rsidR="00021F25" w:rsidRDefault="00021F25">
      <w:pPr>
        <w:ind w:right="-15"/>
        <w:jc w:val="both"/>
        <w:rPr>
          <w:rFonts w:ascii="Times New Roman" w:eastAsia="Times New Roman" w:hAnsi="Times New Roman" w:cs="Times New Roman"/>
          <w:color w:val="000000"/>
          <w:sz w:val="23"/>
          <w:szCs w:val="23"/>
        </w:rPr>
      </w:pPr>
    </w:p>
    <w:p w14:paraId="1AC1DD4D" w14:textId="77777777" w:rsidR="007D78AB" w:rsidRPr="00C51409" w:rsidRDefault="007D78AB">
      <w:pPr>
        <w:ind w:right="-15"/>
        <w:jc w:val="both"/>
        <w:rPr>
          <w:rFonts w:ascii="Times New Roman" w:eastAsia="Times New Roman" w:hAnsi="Times New Roman" w:cs="Times New Roman"/>
          <w:color w:val="000000"/>
          <w:sz w:val="23"/>
          <w:szCs w:val="23"/>
        </w:rPr>
      </w:pPr>
    </w:p>
    <w:p w14:paraId="3296A934" w14:textId="09800AA0" w:rsidR="00021F25" w:rsidRPr="00C51409" w:rsidRDefault="003B448E">
      <w:pPr>
        <w:widowControl/>
        <w:pBdr>
          <w:top w:val="nil"/>
          <w:left w:val="nil"/>
          <w:bottom w:val="nil"/>
          <w:right w:val="nil"/>
          <w:between w:val="nil"/>
        </w:pBdr>
        <w:ind w:left="1417" w:hanging="1417"/>
        <w:jc w:val="both"/>
        <w:rPr>
          <w:rFonts w:ascii="Times New Roman" w:hAnsi="Times New Roman" w:cs="Times New Roman"/>
          <w:color w:val="000000"/>
          <w:sz w:val="23"/>
          <w:szCs w:val="23"/>
        </w:rPr>
      </w:pPr>
      <w:r w:rsidRPr="00C51409">
        <w:rPr>
          <w:rFonts w:ascii="Times New Roman" w:eastAsia="Times New Roman" w:hAnsi="Times New Roman" w:cs="Times New Roman"/>
          <w:b/>
          <w:color w:val="000000"/>
          <w:sz w:val="23"/>
          <w:szCs w:val="23"/>
        </w:rPr>
        <w:t>Contratante</w:t>
      </w:r>
      <w:r w:rsidRPr="00C51409">
        <w:rPr>
          <w:rFonts w:ascii="Times New Roman" w:eastAsia="Times New Roman" w:hAnsi="Times New Roman" w:cs="Times New Roman"/>
          <w:color w:val="000000"/>
          <w:sz w:val="23"/>
          <w:szCs w:val="23"/>
        </w:rPr>
        <w:t xml:space="preserve">: </w:t>
      </w:r>
      <w:r w:rsidR="00A85360" w:rsidRPr="00C51409">
        <w:rPr>
          <w:rFonts w:ascii="Times New Roman" w:hAnsi="Times New Roman" w:cs="Times New Roman"/>
          <w:b/>
          <w:color w:val="000000"/>
          <w:sz w:val="23"/>
          <w:szCs w:val="23"/>
        </w:rPr>
        <w:t xml:space="preserve">Conselho Federal de Economia - Cofecon, </w:t>
      </w:r>
      <w:r w:rsidR="00A85360" w:rsidRPr="00C51409">
        <w:rPr>
          <w:rFonts w:ascii="Times New Roman" w:hAnsi="Times New Roman" w:cs="Times New Roman"/>
          <w:color w:val="000000"/>
          <w:sz w:val="23"/>
          <w:szCs w:val="23"/>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sidR="00A85360" w:rsidRPr="00C51409">
        <w:rPr>
          <w:rFonts w:ascii="Times New Roman" w:hAnsi="Times New Roman" w:cs="Times New Roman"/>
          <w:b/>
          <w:color w:val="000000"/>
          <w:sz w:val="23"/>
          <w:szCs w:val="23"/>
        </w:rPr>
        <w:t xml:space="preserve"> </w:t>
      </w:r>
      <w:r w:rsidR="00A85360" w:rsidRPr="00C51409">
        <w:rPr>
          <w:rFonts w:ascii="Times New Roman" w:hAnsi="Times New Roman" w:cs="Times New Roman"/>
          <w:color w:val="000000"/>
          <w:sz w:val="23"/>
          <w:szCs w:val="23"/>
        </w:rPr>
        <w:t>brasileiro, casado, economista, portador da carteira de identidade profissional nº 16821</w:t>
      </w:r>
      <w:r w:rsidR="00A85360" w:rsidRPr="00C51409">
        <w:rPr>
          <w:rFonts w:ascii="Times New Roman" w:hAnsi="Times New Roman" w:cs="Times New Roman"/>
          <w:sz w:val="23"/>
          <w:szCs w:val="23"/>
        </w:rPr>
        <w:t xml:space="preserve">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00A85360" w:rsidRPr="00C51409">
        <w:rPr>
          <w:rFonts w:ascii="Times New Roman" w:hAnsi="Times New Roman" w:cs="Times New Roman"/>
          <w:b/>
          <w:sz w:val="23"/>
          <w:szCs w:val="23"/>
        </w:rPr>
        <w:t>Contratante</w:t>
      </w:r>
      <w:r w:rsidR="00A85360" w:rsidRPr="00C51409">
        <w:rPr>
          <w:rFonts w:ascii="Times New Roman" w:hAnsi="Times New Roman" w:cs="Times New Roman"/>
          <w:sz w:val="23"/>
          <w:szCs w:val="23"/>
        </w:rPr>
        <w:t>.</w:t>
      </w:r>
    </w:p>
    <w:p w14:paraId="3296A935" w14:textId="1A5389E6" w:rsidR="00021F25" w:rsidRDefault="00021F25">
      <w:pPr>
        <w:jc w:val="both"/>
        <w:rPr>
          <w:rFonts w:ascii="Times New Roman" w:eastAsia="Times New Roman" w:hAnsi="Times New Roman" w:cs="Times New Roman"/>
          <w:sz w:val="23"/>
          <w:szCs w:val="23"/>
        </w:rPr>
      </w:pPr>
    </w:p>
    <w:p w14:paraId="11DDF581" w14:textId="77777777" w:rsidR="007D78AB" w:rsidRPr="00C51409" w:rsidRDefault="007D78AB">
      <w:pPr>
        <w:jc w:val="both"/>
        <w:rPr>
          <w:rFonts w:ascii="Times New Roman" w:eastAsia="Times New Roman" w:hAnsi="Times New Roman" w:cs="Times New Roman"/>
          <w:sz w:val="23"/>
          <w:szCs w:val="23"/>
        </w:rPr>
      </w:pPr>
    </w:p>
    <w:p w14:paraId="3296A936" w14:textId="4A6B00B2" w:rsidR="00021F25" w:rsidRPr="00C51409" w:rsidRDefault="003B448E">
      <w:pPr>
        <w:tabs>
          <w:tab w:val="center" w:pos="4779"/>
          <w:tab w:val="right" w:pos="9198"/>
        </w:tabs>
        <w:ind w:left="1304" w:hanging="1304"/>
        <w:jc w:val="both"/>
        <w:rPr>
          <w:rFonts w:ascii="Times New Roman" w:eastAsia="Times New Roman" w:hAnsi="Times New Roman" w:cs="Times New Roman"/>
          <w:sz w:val="23"/>
          <w:szCs w:val="23"/>
        </w:rPr>
      </w:pPr>
      <w:r w:rsidRPr="00C51409">
        <w:rPr>
          <w:rFonts w:ascii="Times New Roman" w:eastAsia="Times New Roman" w:hAnsi="Times New Roman" w:cs="Times New Roman"/>
          <w:b/>
          <w:sz w:val="23"/>
          <w:szCs w:val="23"/>
        </w:rPr>
        <w:t>Contratada</w:t>
      </w:r>
      <w:r w:rsidRPr="00C51409">
        <w:rPr>
          <w:rFonts w:ascii="Times New Roman" w:eastAsia="Times New Roman" w:hAnsi="Times New Roman" w:cs="Times New Roman"/>
          <w:sz w:val="23"/>
          <w:szCs w:val="23"/>
        </w:rPr>
        <w:t>:</w:t>
      </w:r>
      <w:r w:rsidR="008E0B86" w:rsidRPr="00C51409">
        <w:rPr>
          <w:rFonts w:ascii="Times New Roman" w:eastAsia="Times New Roman" w:hAnsi="Times New Roman" w:cs="Times New Roman"/>
          <w:sz w:val="23"/>
          <w:szCs w:val="23"/>
        </w:rPr>
        <w:t xml:space="preserve"> </w:t>
      </w:r>
      <w:r w:rsidR="003E3231" w:rsidRPr="00C51409">
        <w:rPr>
          <w:rFonts w:ascii="Times New Roman" w:eastAsia="Times New Roman" w:hAnsi="Times New Roman" w:cs="Times New Roman"/>
          <w:b/>
          <w:bCs/>
          <w:sz w:val="23"/>
          <w:szCs w:val="23"/>
        </w:rPr>
        <w:t>GHI Comercio de Papeis e Artigos Ltda EPP</w:t>
      </w:r>
      <w:r w:rsidR="001A7B59" w:rsidRPr="00C51409">
        <w:rPr>
          <w:rFonts w:ascii="Times New Roman" w:eastAsia="Times New Roman" w:hAnsi="Times New Roman" w:cs="Times New Roman"/>
          <w:b/>
          <w:bCs/>
          <w:sz w:val="23"/>
          <w:szCs w:val="23"/>
        </w:rPr>
        <w:t xml:space="preserve">, </w:t>
      </w:r>
      <w:r w:rsidRPr="00C51409">
        <w:rPr>
          <w:rFonts w:ascii="Times New Roman" w:eastAsia="Times New Roman" w:hAnsi="Times New Roman" w:cs="Times New Roman"/>
          <w:sz w:val="23"/>
          <w:szCs w:val="23"/>
        </w:rPr>
        <w:t xml:space="preserve">com sede </w:t>
      </w:r>
      <w:r w:rsidR="001A7B59" w:rsidRPr="00C51409">
        <w:rPr>
          <w:rFonts w:ascii="Times New Roman" w:eastAsia="Times New Roman" w:hAnsi="Times New Roman" w:cs="Times New Roman"/>
          <w:sz w:val="23"/>
          <w:szCs w:val="23"/>
        </w:rPr>
        <w:t xml:space="preserve">na </w:t>
      </w:r>
      <w:r w:rsidR="003E3231" w:rsidRPr="00C51409">
        <w:rPr>
          <w:rFonts w:ascii="Times New Roman" w:eastAsia="Times New Roman" w:hAnsi="Times New Roman" w:cs="Times New Roman"/>
          <w:sz w:val="23"/>
          <w:szCs w:val="23"/>
        </w:rPr>
        <w:t>Av. Parque Águas Claras, nº 3.305 - bloco A, sala 206, Águas Claras-DF, CEP: 71.906-500</w:t>
      </w:r>
      <w:r w:rsidRPr="00C51409">
        <w:rPr>
          <w:rFonts w:ascii="Times New Roman" w:eastAsia="Times New Roman" w:hAnsi="Times New Roman" w:cs="Times New Roman"/>
          <w:sz w:val="23"/>
          <w:szCs w:val="23"/>
        </w:rPr>
        <w:t>,</w:t>
      </w:r>
      <w:r w:rsidR="001A7B59" w:rsidRPr="00C51409">
        <w:rPr>
          <w:rFonts w:ascii="Times New Roman" w:eastAsia="Times New Roman" w:hAnsi="Times New Roman" w:cs="Times New Roman"/>
          <w:sz w:val="23"/>
          <w:szCs w:val="23"/>
        </w:rPr>
        <w:t xml:space="preserve"> </w:t>
      </w:r>
      <w:r w:rsidR="000D3945" w:rsidRPr="00C51409">
        <w:rPr>
          <w:rFonts w:ascii="Times New Roman" w:eastAsia="Times New Roman" w:hAnsi="Times New Roman" w:cs="Times New Roman"/>
          <w:sz w:val="23"/>
          <w:szCs w:val="23"/>
        </w:rPr>
        <w:t xml:space="preserve">fone </w:t>
      </w:r>
      <w:r w:rsidR="003E3231" w:rsidRPr="00C51409">
        <w:rPr>
          <w:rFonts w:ascii="Times New Roman" w:eastAsia="Times New Roman" w:hAnsi="Times New Roman" w:cs="Times New Roman"/>
          <w:sz w:val="23"/>
          <w:szCs w:val="23"/>
        </w:rPr>
        <w:t>(61) 99816-0476</w:t>
      </w:r>
      <w:r w:rsidR="000D3945" w:rsidRPr="00C51409">
        <w:rPr>
          <w:rFonts w:ascii="Times New Roman" w:eastAsia="Times New Roman" w:hAnsi="Times New Roman" w:cs="Times New Roman"/>
          <w:sz w:val="23"/>
          <w:szCs w:val="23"/>
        </w:rPr>
        <w:t>;</w:t>
      </w:r>
      <w:r w:rsidR="001A7B59" w:rsidRPr="00C51409">
        <w:rPr>
          <w:rFonts w:ascii="Times New Roman" w:eastAsia="Times New Roman" w:hAnsi="Times New Roman" w:cs="Times New Roman"/>
          <w:sz w:val="23"/>
          <w:szCs w:val="23"/>
        </w:rPr>
        <w:t xml:space="preserve"> </w:t>
      </w:r>
      <w:r w:rsidR="0009557F" w:rsidRPr="00C51409">
        <w:rPr>
          <w:rFonts w:ascii="Times New Roman" w:eastAsia="Times New Roman" w:hAnsi="Times New Roman" w:cs="Times New Roman"/>
          <w:sz w:val="23"/>
          <w:szCs w:val="23"/>
        </w:rPr>
        <w:t xml:space="preserve">e-mail: </w:t>
      </w:r>
      <w:hyperlink r:id="rId8" w:history="1">
        <w:r w:rsidR="000D3945" w:rsidRPr="00C51409">
          <w:rPr>
            <w:rStyle w:val="Hyperlink"/>
            <w:rFonts w:ascii="Times New Roman" w:eastAsia="Times New Roman" w:hAnsi="Times New Roman" w:cs="Times New Roman"/>
            <w:color w:val="auto"/>
            <w:sz w:val="23"/>
            <w:szCs w:val="23"/>
          </w:rPr>
          <w:t>ghipapeis@gmail.com</w:t>
        </w:r>
      </w:hyperlink>
      <w:r w:rsidR="000D3945" w:rsidRPr="00C51409">
        <w:rPr>
          <w:rFonts w:ascii="Times New Roman" w:eastAsia="Times New Roman" w:hAnsi="Times New Roman" w:cs="Times New Roman"/>
          <w:sz w:val="23"/>
          <w:szCs w:val="23"/>
        </w:rPr>
        <w:t xml:space="preserve">; </w:t>
      </w:r>
      <w:r w:rsidRPr="00C51409">
        <w:rPr>
          <w:rFonts w:ascii="Times New Roman" w:eastAsia="Times New Roman" w:hAnsi="Times New Roman" w:cs="Times New Roman"/>
          <w:sz w:val="23"/>
          <w:szCs w:val="23"/>
        </w:rPr>
        <w:t xml:space="preserve">inscrita no CNPJ nº </w:t>
      </w:r>
      <w:r w:rsidR="000D3945" w:rsidRPr="00C51409">
        <w:rPr>
          <w:rFonts w:ascii="Times New Roman" w:eastAsia="Times New Roman" w:hAnsi="Times New Roman" w:cs="Times New Roman"/>
          <w:sz w:val="23"/>
          <w:szCs w:val="23"/>
        </w:rPr>
        <w:t>34.791.570/0001-69</w:t>
      </w:r>
      <w:r w:rsidRPr="00C51409">
        <w:rPr>
          <w:rFonts w:ascii="Times New Roman" w:eastAsia="Times New Roman" w:hAnsi="Times New Roman" w:cs="Times New Roman"/>
          <w:sz w:val="23"/>
          <w:szCs w:val="23"/>
        </w:rPr>
        <w:t xml:space="preserve">, neste ato representada por </w:t>
      </w:r>
      <w:r w:rsidR="000D3945" w:rsidRPr="00C51409">
        <w:rPr>
          <w:rFonts w:ascii="Times New Roman" w:eastAsia="Times New Roman" w:hAnsi="Times New Roman" w:cs="Times New Roman"/>
          <w:sz w:val="23"/>
          <w:szCs w:val="23"/>
        </w:rPr>
        <w:t>Fabiana de Fátima F. S. Santos</w:t>
      </w:r>
      <w:r w:rsidRPr="00C51409">
        <w:rPr>
          <w:rFonts w:ascii="Times New Roman" w:eastAsia="Times New Roman" w:hAnsi="Times New Roman" w:cs="Times New Roman"/>
          <w:sz w:val="23"/>
          <w:szCs w:val="23"/>
        </w:rPr>
        <w:t xml:space="preserve">, CPF nº </w:t>
      </w:r>
      <w:r w:rsidR="000D3945" w:rsidRPr="00C51409">
        <w:rPr>
          <w:rFonts w:ascii="Times New Roman" w:eastAsia="Times New Roman" w:hAnsi="Times New Roman" w:cs="Times New Roman"/>
          <w:sz w:val="23"/>
          <w:szCs w:val="23"/>
        </w:rPr>
        <w:t>694.363.121-72</w:t>
      </w:r>
      <w:r w:rsidRPr="00C51409">
        <w:rPr>
          <w:rFonts w:ascii="Times New Roman" w:eastAsia="Times New Roman" w:hAnsi="Times New Roman" w:cs="Times New Roman"/>
          <w:sz w:val="23"/>
          <w:szCs w:val="23"/>
        </w:rPr>
        <w:t xml:space="preserve">, RG nº </w:t>
      </w:r>
      <w:r w:rsidR="000D3945" w:rsidRPr="00C51409">
        <w:rPr>
          <w:rFonts w:ascii="Times New Roman" w:eastAsia="Times New Roman" w:hAnsi="Times New Roman" w:cs="Times New Roman"/>
          <w:sz w:val="23"/>
          <w:szCs w:val="23"/>
        </w:rPr>
        <w:t xml:space="preserve">521.059, </w:t>
      </w:r>
      <w:proofErr w:type="spellStart"/>
      <w:r w:rsidR="007D78AB" w:rsidRPr="00C51409">
        <w:rPr>
          <w:rFonts w:ascii="Times New Roman" w:eastAsia="Times New Roman" w:hAnsi="Times New Roman" w:cs="Times New Roman"/>
          <w:sz w:val="23"/>
          <w:szCs w:val="23"/>
        </w:rPr>
        <w:t>Comaer</w:t>
      </w:r>
      <w:proofErr w:type="spellEnd"/>
      <w:r w:rsidR="007D78AB">
        <w:rPr>
          <w:rFonts w:ascii="Times New Roman" w:eastAsia="Times New Roman" w:hAnsi="Times New Roman" w:cs="Times New Roman"/>
          <w:sz w:val="23"/>
          <w:szCs w:val="23"/>
        </w:rPr>
        <w:t>-</w:t>
      </w:r>
      <w:r w:rsidR="000D3945" w:rsidRPr="00C51409">
        <w:rPr>
          <w:rFonts w:ascii="Times New Roman" w:eastAsia="Times New Roman" w:hAnsi="Times New Roman" w:cs="Times New Roman"/>
          <w:sz w:val="23"/>
          <w:szCs w:val="23"/>
        </w:rPr>
        <w:t>DF</w:t>
      </w:r>
      <w:r w:rsidRPr="00C51409">
        <w:rPr>
          <w:rFonts w:ascii="Times New Roman" w:eastAsia="Times New Roman" w:hAnsi="Times New Roman" w:cs="Times New Roman"/>
          <w:sz w:val="23"/>
          <w:szCs w:val="23"/>
        </w:rPr>
        <w:t xml:space="preserve">, doravante denominada parte </w:t>
      </w:r>
      <w:r w:rsidR="00C1259D" w:rsidRPr="00C51409">
        <w:rPr>
          <w:rFonts w:ascii="Times New Roman" w:eastAsia="Times New Roman" w:hAnsi="Times New Roman" w:cs="Times New Roman"/>
          <w:b/>
          <w:bCs/>
          <w:sz w:val="23"/>
          <w:szCs w:val="23"/>
        </w:rPr>
        <w:t>Contratada</w:t>
      </w:r>
      <w:r w:rsidRPr="00C51409">
        <w:rPr>
          <w:rFonts w:ascii="Times New Roman" w:eastAsia="Times New Roman" w:hAnsi="Times New Roman" w:cs="Times New Roman"/>
          <w:sz w:val="23"/>
          <w:szCs w:val="23"/>
        </w:rPr>
        <w:t>.</w:t>
      </w:r>
    </w:p>
    <w:p w14:paraId="24DA329C" w14:textId="0B200B24" w:rsidR="00764DBC" w:rsidRDefault="00764DBC">
      <w:pPr>
        <w:tabs>
          <w:tab w:val="center" w:pos="4779"/>
          <w:tab w:val="right" w:pos="9198"/>
        </w:tabs>
        <w:ind w:left="1304" w:hanging="1304"/>
        <w:jc w:val="both"/>
        <w:rPr>
          <w:rFonts w:ascii="Times New Roman" w:hAnsi="Times New Roman" w:cs="Times New Roman"/>
          <w:sz w:val="23"/>
          <w:szCs w:val="23"/>
        </w:rPr>
      </w:pPr>
    </w:p>
    <w:p w14:paraId="67581D2C" w14:textId="77777777" w:rsidR="007D78AB" w:rsidRPr="00C51409" w:rsidRDefault="007D78AB">
      <w:pPr>
        <w:tabs>
          <w:tab w:val="center" w:pos="4779"/>
          <w:tab w:val="right" w:pos="9198"/>
        </w:tabs>
        <w:ind w:left="1304" w:hanging="1304"/>
        <w:jc w:val="both"/>
        <w:rPr>
          <w:rFonts w:ascii="Times New Roman" w:hAnsi="Times New Roman" w:cs="Times New Roman"/>
          <w:sz w:val="23"/>
          <w:szCs w:val="23"/>
        </w:rPr>
      </w:pPr>
    </w:p>
    <w:p w14:paraId="6AC29234" w14:textId="6E89E003" w:rsidR="00ED59FF" w:rsidRPr="00C51409" w:rsidRDefault="003B448E">
      <w:pPr>
        <w:tabs>
          <w:tab w:val="center" w:pos="4779"/>
          <w:tab w:val="right" w:pos="9198"/>
        </w:tabs>
        <w:jc w:val="both"/>
        <w:rPr>
          <w:rFonts w:ascii="Times New Roman" w:eastAsia="Times New Roman" w:hAnsi="Times New Roman" w:cs="Times New Roman"/>
          <w:sz w:val="23"/>
          <w:szCs w:val="23"/>
        </w:rPr>
      </w:pPr>
      <w:r w:rsidRPr="00C51409">
        <w:rPr>
          <w:rFonts w:ascii="Times New Roman" w:eastAsia="Times New Roman" w:hAnsi="Times New Roman" w:cs="Times New Roman"/>
          <w:sz w:val="23"/>
          <w:szCs w:val="23"/>
        </w:rPr>
        <w:t xml:space="preserve">CONSIDERANDO o julgamento da licitação na modalidade de </w:t>
      </w:r>
      <w:r w:rsidR="00FC3669" w:rsidRPr="00C51409">
        <w:rPr>
          <w:rFonts w:ascii="Times New Roman" w:eastAsia="Times New Roman" w:hAnsi="Times New Roman" w:cs="Times New Roman"/>
          <w:sz w:val="23"/>
          <w:szCs w:val="23"/>
        </w:rPr>
        <w:t>PREGÃO</w:t>
      </w:r>
      <w:r w:rsidRPr="00C51409">
        <w:rPr>
          <w:rFonts w:ascii="Times New Roman" w:eastAsia="Times New Roman" w:hAnsi="Times New Roman" w:cs="Times New Roman"/>
          <w:sz w:val="23"/>
          <w:szCs w:val="23"/>
        </w:rPr>
        <w:t xml:space="preserve">, na forma eletrônica, para REGISTRO DE PREÇOS nº </w:t>
      </w:r>
      <w:r w:rsidR="00FC3669" w:rsidRPr="00C51409">
        <w:rPr>
          <w:rFonts w:ascii="Times New Roman" w:eastAsia="Times New Roman" w:hAnsi="Times New Roman" w:cs="Times New Roman"/>
          <w:sz w:val="23"/>
          <w:szCs w:val="23"/>
        </w:rPr>
        <w:t>4</w:t>
      </w:r>
      <w:r w:rsidRPr="00C51409">
        <w:rPr>
          <w:rFonts w:ascii="Times New Roman" w:eastAsia="Times New Roman" w:hAnsi="Times New Roman" w:cs="Times New Roman"/>
          <w:sz w:val="23"/>
          <w:szCs w:val="23"/>
        </w:rPr>
        <w:t>/</w:t>
      </w:r>
      <w:r w:rsidR="00740EB5" w:rsidRPr="00C51409">
        <w:rPr>
          <w:rFonts w:ascii="Times New Roman" w:eastAsia="Times New Roman" w:hAnsi="Times New Roman" w:cs="Times New Roman"/>
          <w:sz w:val="23"/>
          <w:szCs w:val="23"/>
        </w:rPr>
        <w:t>2022</w:t>
      </w:r>
      <w:r w:rsidRPr="00C51409">
        <w:rPr>
          <w:rFonts w:ascii="Times New Roman" w:eastAsia="Times New Roman" w:hAnsi="Times New Roman" w:cs="Times New Roman"/>
          <w:sz w:val="23"/>
          <w:szCs w:val="23"/>
        </w:rPr>
        <w:t xml:space="preserve">, Processo Administrativo nº </w:t>
      </w:r>
      <w:r w:rsidR="00907BCE" w:rsidRPr="00C51409">
        <w:rPr>
          <w:rFonts w:ascii="Times New Roman" w:eastAsia="Times New Roman" w:hAnsi="Times New Roman" w:cs="Times New Roman"/>
          <w:sz w:val="23"/>
          <w:szCs w:val="23"/>
        </w:rPr>
        <w:t>20.060</w:t>
      </w:r>
      <w:r w:rsidR="00AE4B2B" w:rsidRPr="00C51409">
        <w:rPr>
          <w:rFonts w:ascii="Times New Roman" w:eastAsia="Times New Roman" w:hAnsi="Times New Roman" w:cs="Times New Roman"/>
          <w:sz w:val="23"/>
          <w:szCs w:val="23"/>
        </w:rPr>
        <w:t>/2022</w:t>
      </w:r>
      <w:r w:rsidRPr="00C51409">
        <w:rPr>
          <w:rFonts w:ascii="Times New Roman" w:eastAsia="Times New Roman" w:hAnsi="Times New Roman" w:cs="Times New Roman"/>
          <w:sz w:val="23"/>
          <w:szCs w:val="23"/>
        </w:rPr>
        <w:t xml:space="preserve">, </w:t>
      </w:r>
      <w:r w:rsidR="00AF3F3C" w:rsidRPr="00C51409">
        <w:rPr>
          <w:rFonts w:ascii="Times New Roman" w:eastAsia="Times New Roman" w:hAnsi="Times New Roman" w:cs="Times New Roman"/>
          <w:sz w:val="23"/>
          <w:szCs w:val="23"/>
        </w:rPr>
        <w:t>resolve</w:t>
      </w:r>
      <w:r w:rsidRPr="00C51409">
        <w:rPr>
          <w:rFonts w:ascii="Times New Roman" w:eastAsia="Times New Roman" w:hAnsi="Times New Roman" w:cs="Times New Roman"/>
          <w:sz w:val="23"/>
          <w:szCs w:val="23"/>
        </w:rPr>
        <w:t xml:space="preserve">: </w:t>
      </w:r>
    </w:p>
    <w:p w14:paraId="6C1884DE" w14:textId="77777777" w:rsidR="00ED59FF" w:rsidRPr="00C51409" w:rsidRDefault="00ED59FF">
      <w:pPr>
        <w:tabs>
          <w:tab w:val="center" w:pos="4779"/>
          <w:tab w:val="right" w:pos="9198"/>
        </w:tabs>
        <w:jc w:val="both"/>
        <w:rPr>
          <w:rFonts w:ascii="Times New Roman" w:eastAsia="Times New Roman" w:hAnsi="Times New Roman" w:cs="Times New Roman"/>
          <w:sz w:val="23"/>
          <w:szCs w:val="23"/>
        </w:rPr>
      </w:pPr>
    </w:p>
    <w:p w14:paraId="3296A938" w14:textId="48E56D20" w:rsidR="00021F25" w:rsidRPr="00C51409" w:rsidRDefault="00ED59FF">
      <w:pPr>
        <w:tabs>
          <w:tab w:val="center" w:pos="4779"/>
          <w:tab w:val="right" w:pos="9198"/>
        </w:tabs>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sz w:val="23"/>
          <w:szCs w:val="23"/>
        </w:rPr>
        <w:t>R</w:t>
      </w:r>
      <w:r w:rsidR="003B448E" w:rsidRPr="00C51409">
        <w:rPr>
          <w:rFonts w:ascii="Times New Roman" w:eastAsia="Times New Roman" w:hAnsi="Times New Roman" w:cs="Times New Roman"/>
          <w:sz w:val="23"/>
          <w:szCs w:val="23"/>
        </w:rPr>
        <w:t xml:space="preserve">egistrar os preços da empresa indicada e qualificada nesta ATA, de acordo com a classificação por ela alcançada e na quantidade cotada, atendendo às condições previstas </w:t>
      </w:r>
      <w:r w:rsidR="003B448E" w:rsidRPr="00C51409">
        <w:rPr>
          <w:rFonts w:ascii="Times New Roman" w:eastAsia="Times New Roman" w:hAnsi="Times New Roman" w:cs="Times New Roman"/>
          <w:color w:val="000000"/>
          <w:sz w:val="23"/>
          <w:szCs w:val="23"/>
        </w:rPr>
        <w:t>no Edital, sujeitando-se as partes às normas constantes na Lei nº 8.666/1993 e suas alterações, no Decreto nº 7.892/2013, e em conformidade com as disposições a seguir.</w:t>
      </w:r>
    </w:p>
    <w:p w14:paraId="15E0DE2A" w14:textId="77777777" w:rsidR="00ED59FF" w:rsidRPr="00C51409" w:rsidRDefault="00ED59FF">
      <w:pPr>
        <w:tabs>
          <w:tab w:val="center" w:pos="4779"/>
          <w:tab w:val="right" w:pos="9198"/>
        </w:tabs>
        <w:jc w:val="both"/>
        <w:rPr>
          <w:rFonts w:ascii="Times New Roman" w:eastAsia="Times New Roman" w:hAnsi="Times New Roman" w:cs="Times New Roman"/>
          <w:color w:val="000000"/>
          <w:sz w:val="23"/>
          <w:szCs w:val="23"/>
        </w:rPr>
      </w:pPr>
    </w:p>
    <w:p w14:paraId="3296A93A" w14:textId="77777777" w:rsidR="00021F25" w:rsidRPr="00C51409" w:rsidRDefault="003B448E" w:rsidP="000F3A47">
      <w:pPr>
        <w:pBdr>
          <w:top w:val="nil"/>
          <w:left w:val="nil"/>
          <w:bottom w:val="nil"/>
          <w:right w:val="nil"/>
          <w:between w:val="nil"/>
        </w:pBdr>
        <w:shd w:val="clear" w:color="auto" w:fill="000000" w:themeFill="text1"/>
        <w:jc w:val="both"/>
        <w:rPr>
          <w:rFonts w:ascii="Times New Roman" w:hAnsi="Times New Roman" w:cs="Times New Roman"/>
          <w:color w:val="000000"/>
          <w:sz w:val="23"/>
          <w:szCs w:val="23"/>
        </w:rPr>
      </w:pPr>
      <w:r w:rsidRPr="00C51409">
        <w:rPr>
          <w:rFonts w:ascii="Times New Roman" w:eastAsia="Times New Roman" w:hAnsi="Times New Roman" w:cs="Times New Roman"/>
          <w:b/>
          <w:color w:val="FFFFFF"/>
          <w:sz w:val="23"/>
          <w:szCs w:val="23"/>
        </w:rPr>
        <w:t>1. Objeto</w:t>
      </w:r>
    </w:p>
    <w:p w14:paraId="3296A93B" w14:textId="77777777" w:rsidR="00021F25" w:rsidRPr="00C51409" w:rsidRDefault="00021F25">
      <w:pPr>
        <w:ind w:right="-15"/>
        <w:jc w:val="both"/>
        <w:rPr>
          <w:rFonts w:ascii="Times New Roman" w:eastAsia="Times New Roman" w:hAnsi="Times New Roman" w:cs="Times New Roman"/>
          <w:color w:val="000000"/>
          <w:sz w:val="23"/>
          <w:szCs w:val="23"/>
        </w:rPr>
      </w:pPr>
    </w:p>
    <w:p w14:paraId="3296A93C" w14:textId="18C22E06" w:rsidR="00021F25" w:rsidRPr="00C51409" w:rsidRDefault="003B448E">
      <w:pPr>
        <w:jc w:val="both"/>
        <w:rPr>
          <w:rFonts w:ascii="Times New Roman" w:hAnsi="Times New Roman" w:cs="Times New Roman"/>
          <w:sz w:val="23"/>
          <w:szCs w:val="23"/>
        </w:rPr>
      </w:pPr>
      <w:r w:rsidRPr="00C51409">
        <w:rPr>
          <w:rFonts w:ascii="Times New Roman" w:eastAsia="Times New Roman" w:hAnsi="Times New Roman" w:cs="Times New Roman"/>
          <w:color w:val="000000"/>
          <w:sz w:val="23"/>
          <w:szCs w:val="23"/>
        </w:rPr>
        <w:t xml:space="preserve">1.1. A presente Ata tem por objeto o registro de preços para a eventual aquisição de materiais de expediente, copa e limpeza, especificados no item 1 do Termo de Referência, Anexo I do </w:t>
      </w:r>
      <w:r w:rsidR="009C4DED" w:rsidRPr="00C51409">
        <w:rPr>
          <w:rFonts w:ascii="Times New Roman" w:eastAsia="Times New Roman" w:hAnsi="Times New Roman" w:cs="Times New Roman"/>
          <w:color w:val="000000"/>
          <w:sz w:val="23"/>
          <w:szCs w:val="23"/>
        </w:rPr>
        <w:t>E</w:t>
      </w:r>
      <w:r w:rsidRPr="00C51409">
        <w:rPr>
          <w:rFonts w:ascii="Times New Roman" w:eastAsia="Times New Roman" w:hAnsi="Times New Roman" w:cs="Times New Roman"/>
          <w:color w:val="000000"/>
          <w:sz w:val="23"/>
          <w:szCs w:val="23"/>
        </w:rPr>
        <w:t>dital de Preg</w:t>
      </w:r>
      <w:r w:rsidRPr="00C51409">
        <w:rPr>
          <w:rFonts w:ascii="Times New Roman" w:eastAsia="Times New Roman" w:hAnsi="Times New Roman" w:cs="Times New Roman"/>
          <w:sz w:val="23"/>
          <w:szCs w:val="23"/>
        </w:rPr>
        <w:t xml:space="preserve">ão nº </w:t>
      </w:r>
      <w:r w:rsidR="00FC3669" w:rsidRPr="00C51409">
        <w:rPr>
          <w:rFonts w:ascii="Times New Roman" w:eastAsia="Times New Roman" w:hAnsi="Times New Roman" w:cs="Times New Roman"/>
          <w:sz w:val="23"/>
          <w:szCs w:val="23"/>
        </w:rPr>
        <w:t>4/</w:t>
      </w:r>
      <w:r w:rsidRPr="00C51409">
        <w:rPr>
          <w:rFonts w:ascii="Times New Roman" w:eastAsia="Times New Roman" w:hAnsi="Times New Roman" w:cs="Times New Roman"/>
          <w:sz w:val="23"/>
          <w:szCs w:val="23"/>
        </w:rPr>
        <w:t>202</w:t>
      </w:r>
      <w:r w:rsidR="00AE4B2B" w:rsidRPr="00C51409">
        <w:rPr>
          <w:rFonts w:ascii="Times New Roman" w:eastAsia="Times New Roman" w:hAnsi="Times New Roman" w:cs="Times New Roman"/>
          <w:sz w:val="23"/>
          <w:szCs w:val="23"/>
        </w:rPr>
        <w:t>2</w:t>
      </w:r>
      <w:r w:rsidRPr="00C51409">
        <w:rPr>
          <w:rFonts w:ascii="Times New Roman" w:eastAsia="Times New Roman" w:hAnsi="Times New Roman" w:cs="Times New Roman"/>
          <w:color w:val="000000"/>
          <w:sz w:val="23"/>
          <w:szCs w:val="23"/>
        </w:rPr>
        <w:t>, que é parte integrante desta Ata, assim como a proposta vencedora, independentemente de transcrição.</w:t>
      </w:r>
    </w:p>
    <w:p w14:paraId="3296A93D" w14:textId="77777777" w:rsidR="00021F25" w:rsidRPr="00C51409" w:rsidRDefault="00021F25">
      <w:pPr>
        <w:ind w:right="-15"/>
        <w:jc w:val="both"/>
        <w:rPr>
          <w:rFonts w:ascii="Times New Roman" w:eastAsia="Times New Roman" w:hAnsi="Times New Roman" w:cs="Times New Roman"/>
          <w:color w:val="000000"/>
          <w:sz w:val="23"/>
          <w:szCs w:val="23"/>
        </w:rPr>
      </w:pPr>
    </w:p>
    <w:p w14:paraId="3296A93E" w14:textId="77777777" w:rsidR="00021F25" w:rsidRPr="00C51409"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3"/>
          <w:szCs w:val="23"/>
        </w:rPr>
      </w:pPr>
      <w:r w:rsidRPr="00C51409">
        <w:rPr>
          <w:rFonts w:ascii="Times New Roman" w:eastAsia="Times New Roman" w:hAnsi="Times New Roman" w:cs="Times New Roman"/>
          <w:b/>
          <w:color w:val="FFFFFF"/>
          <w:sz w:val="23"/>
          <w:szCs w:val="23"/>
        </w:rPr>
        <w:t>2. Preços, Especificações e Quantitativos</w:t>
      </w:r>
    </w:p>
    <w:p w14:paraId="3296A93F" w14:textId="77777777" w:rsidR="00021F25" w:rsidRPr="00C51409" w:rsidRDefault="00021F25">
      <w:pPr>
        <w:ind w:right="-15"/>
        <w:jc w:val="both"/>
        <w:rPr>
          <w:rFonts w:ascii="Times New Roman" w:eastAsia="Times New Roman" w:hAnsi="Times New Roman" w:cs="Times New Roman"/>
          <w:color w:val="000000"/>
          <w:sz w:val="23"/>
          <w:szCs w:val="23"/>
        </w:rPr>
      </w:pPr>
    </w:p>
    <w:p w14:paraId="2C82697E" w14:textId="0EC83000" w:rsidR="0013539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2.1. O preço registrado, as especificações do objeto, a quantidade, fornecedor(es) e as demais condições ofertadas na(s) proposta(s) são as que seguem:</w:t>
      </w:r>
    </w:p>
    <w:p w14:paraId="115758EB" w14:textId="77777777" w:rsidR="00A85360" w:rsidRPr="00C51409" w:rsidRDefault="00A85360" w:rsidP="009F0D1F">
      <w:pPr>
        <w:jc w:val="both"/>
        <w:rPr>
          <w:rFonts w:ascii="Times New Roman" w:eastAsia="Times New Roman" w:hAnsi="Times New Roman" w:cs="Times New Roman"/>
          <w:sz w:val="23"/>
          <w:szCs w:val="23"/>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666"/>
        <w:gridCol w:w="875"/>
        <w:gridCol w:w="1354"/>
        <w:gridCol w:w="1007"/>
        <w:gridCol w:w="1466"/>
        <w:gridCol w:w="1276"/>
      </w:tblGrid>
      <w:tr w:rsidR="00C51409" w:rsidRPr="00A81C6C" w14:paraId="7CC17D8A" w14:textId="77777777" w:rsidTr="007D78AB">
        <w:trPr>
          <w:trHeight w:val="44"/>
          <w:jc w:val="center"/>
        </w:trPr>
        <w:tc>
          <w:tcPr>
            <w:tcW w:w="440" w:type="dxa"/>
            <w:shd w:val="clear" w:color="auto" w:fill="D9D9D9" w:themeFill="background1" w:themeFillShade="D9"/>
            <w:noWrap/>
            <w:vAlign w:val="center"/>
            <w:hideMark/>
          </w:tcPr>
          <w:p w14:paraId="502A6E79" w14:textId="77777777" w:rsidR="00F43125" w:rsidRPr="00A81C6C" w:rsidRDefault="00F43125" w:rsidP="00F43125">
            <w:pPr>
              <w:widowControl/>
              <w:jc w:val="center"/>
              <w:rPr>
                <w:rFonts w:ascii="Times New Roman" w:eastAsia="Times New Roman" w:hAnsi="Times New Roman" w:cs="Times New Roman"/>
                <w:b/>
                <w:bCs/>
                <w:color w:val="000000"/>
                <w:sz w:val="20"/>
                <w:szCs w:val="20"/>
              </w:rPr>
            </w:pPr>
            <w:r w:rsidRPr="00A81C6C">
              <w:rPr>
                <w:rFonts w:ascii="Times New Roman" w:eastAsia="Times New Roman" w:hAnsi="Times New Roman" w:cs="Times New Roman"/>
                <w:b/>
                <w:bCs/>
                <w:color w:val="000000"/>
                <w:sz w:val="20"/>
                <w:szCs w:val="20"/>
              </w:rPr>
              <w:t>Nº</w:t>
            </w:r>
          </w:p>
        </w:tc>
        <w:tc>
          <w:tcPr>
            <w:tcW w:w="3666" w:type="dxa"/>
            <w:shd w:val="clear" w:color="auto" w:fill="D9D9D9" w:themeFill="background1" w:themeFillShade="D9"/>
            <w:noWrap/>
            <w:vAlign w:val="center"/>
            <w:hideMark/>
          </w:tcPr>
          <w:p w14:paraId="06DCFDB7" w14:textId="77777777" w:rsidR="00F43125" w:rsidRPr="00A81C6C" w:rsidRDefault="00F43125" w:rsidP="00F43125">
            <w:pPr>
              <w:widowControl/>
              <w:jc w:val="center"/>
              <w:rPr>
                <w:rFonts w:ascii="Times New Roman" w:eastAsia="Times New Roman" w:hAnsi="Times New Roman" w:cs="Times New Roman"/>
                <w:b/>
                <w:bCs/>
                <w:color w:val="000000"/>
                <w:sz w:val="20"/>
                <w:szCs w:val="20"/>
              </w:rPr>
            </w:pPr>
            <w:r w:rsidRPr="00A81C6C">
              <w:rPr>
                <w:rFonts w:ascii="Times New Roman" w:eastAsia="Times New Roman" w:hAnsi="Times New Roman" w:cs="Times New Roman"/>
                <w:b/>
                <w:bCs/>
                <w:color w:val="000000"/>
                <w:sz w:val="20"/>
                <w:szCs w:val="20"/>
              </w:rPr>
              <w:t>Item</w:t>
            </w:r>
          </w:p>
        </w:tc>
        <w:tc>
          <w:tcPr>
            <w:tcW w:w="875" w:type="dxa"/>
            <w:shd w:val="clear" w:color="auto" w:fill="D9D9D9" w:themeFill="background1" w:themeFillShade="D9"/>
            <w:noWrap/>
            <w:vAlign w:val="center"/>
            <w:hideMark/>
          </w:tcPr>
          <w:p w14:paraId="66FDFC37" w14:textId="77777777" w:rsidR="00F43125" w:rsidRPr="00A81C6C" w:rsidRDefault="00F43125" w:rsidP="00F43125">
            <w:pPr>
              <w:widowControl/>
              <w:jc w:val="center"/>
              <w:rPr>
                <w:rFonts w:ascii="Times New Roman" w:eastAsia="Times New Roman" w:hAnsi="Times New Roman" w:cs="Times New Roman"/>
                <w:b/>
                <w:bCs/>
                <w:color w:val="000000"/>
                <w:sz w:val="20"/>
                <w:szCs w:val="20"/>
              </w:rPr>
            </w:pPr>
            <w:r w:rsidRPr="00A81C6C">
              <w:rPr>
                <w:rFonts w:ascii="Times New Roman" w:eastAsia="Times New Roman" w:hAnsi="Times New Roman" w:cs="Times New Roman"/>
                <w:b/>
                <w:bCs/>
                <w:color w:val="000000"/>
                <w:sz w:val="20"/>
                <w:szCs w:val="20"/>
              </w:rPr>
              <w:t>Medida</w:t>
            </w:r>
          </w:p>
        </w:tc>
        <w:tc>
          <w:tcPr>
            <w:tcW w:w="1354" w:type="dxa"/>
            <w:shd w:val="clear" w:color="auto" w:fill="D9D9D9" w:themeFill="background1" w:themeFillShade="D9"/>
            <w:noWrap/>
            <w:vAlign w:val="center"/>
            <w:hideMark/>
          </w:tcPr>
          <w:p w14:paraId="38C1C6A9" w14:textId="77777777" w:rsidR="00F43125" w:rsidRPr="00A81C6C" w:rsidRDefault="00F43125" w:rsidP="00F43125">
            <w:pPr>
              <w:widowControl/>
              <w:jc w:val="center"/>
              <w:rPr>
                <w:rFonts w:ascii="Times New Roman" w:eastAsia="Times New Roman" w:hAnsi="Times New Roman" w:cs="Times New Roman"/>
                <w:b/>
                <w:bCs/>
                <w:color w:val="000000"/>
                <w:sz w:val="20"/>
                <w:szCs w:val="20"/>
              </w:rPr>
            </w:pPr>
            <w:r w:rsidRPr="00A81C6C">
              <w:rPr>
                <w:rFonts w:ascii="Times New Roman" w:eastAsia="Times New Roman" w:hAnsi="Times New Roman" w:cs="Times New Roman"/>
                <w:b/>
                <w:bCs/>
                <w:color w:val="000000"/>
                <w:sz w:val="20"/>
                <w:szCs w:val="20"/>
              </w:rPr>
              <w:t>Quantidade</w:t>
            </w:r>
          </w:p>
        </w:tc>
        <w:tc>
          <w:tcPr>
            <w:tcW w:w="1007" w:type="dxa"/>
            <w:shd w:val="clear" w:color="auto" w:fill="D9D9D9" w:themeFill="background1" w:themeFillShade="D9"/>
            <w:noWrap/>
            <w:vAlign w:val="center"/>
            <w:hideMark/>
          </w:tcPr>
          <w:p w14:paraId="7CEF24D2" w14:textId="77777777" w:rsidR="00F43125" w:rsidRPr="00A81C6C" w:rsidRDefault="00F43125" w:rsidP="00F43125">
            <w:pPr>
              <w:widowControl/>
              <w:jc w:val="center"/>
              <w:rPr>
                <w:rFonts w:ascii="Times New Roman" w:eastAsia="Times New Roman" w:hAnsi="Times New Roman" w:cs="Times New Roman"/>
                <w:b/>
                <w:bCs/>
                <w:color w:val="000000"/>
                <w:sz w:val="20"/>
                <w:szCs w:val="20"/>
              </w:rPr>
            </w:pPr>
            <w:r w:rsidRPr="00A81C6C">
              <w:rPr>
                <w:rFonts w:ascii="Times New Roman" w:eastAsia="Times New Roman" w:hAnsi="Times New Roman" w:cs="Times New Roman"/>
                <w:b/>
                <w:bCs/>
                <w:color w:val="000000"/>
                <w:sz w:val="20"/>
                <w:szCs w:val="20"/>
              </w:rPr>
              <w:t>Marca</w:t>
            </w:r>
          </w:p>
        </w:tc>
        <w:tc>
          <w:tcPr>
            <w:tcW w:w="1466" w:type="dxa"/>
            <w:shd w:val="clear" w:color="auto" w:fill="D9D9D9" w:themeFill="background1" w:themeFillShade="D9"/>
            <w:noWrap/>
            <w:vAlign w:val="center"/>
            <w:hideMark/>
          </w:tcPr>
          <w:p w14:paraId="7D648DE9" w14:textId="77777777" w:rsidR="00F43125" w:rsidRPr="00A81C6C" w:rsidRDefault="00F43125" w:rsidP="00F43125">
            <w:pPr>
              <w:widowControl/>
              <w:jc w:val="center"/>
              <w:rPr>
                <w:rFonts w:ascii="Times New Roman" w:eastAsia="Times New Roman" w:hAnsi="Times New Roman" w:cs="Times New Roman"/>
                <w:b/>
                <w:bCs/>
                <w:color w:val="000000"/>
                <w:sz w:val="20"/>
                <w:szCs w:val="20"/>
              </w:rPr>
            </w:pPr>
            <w:r w:rsidRPr="00A81C6C">
              <w:rPr>
                <w:rFonts w:ascii="Times New Roman" w:eastAsia="Times New Roman" w:hAnsi="Times New Roman" w:cs="Times New Roman"/>
                <w:b/>
                <w:bCs/>
                <w:color w:val="000000"/>
                <w:sz w:val="20"/>
                <w:szCs w:val="20"/>
              </w:rPr>
              <w:t>Valor Unitário</w:t>
            </w:r>
          </w:p>
        </w:tc>
        <w:tc>
          <w:tcPr>
            <w:tcW w:w="1276" w:type="dxa"/>
            <w:shd w:val="clear" w:color="auto" w:fill="D9D9D9" w:themeFill="background1" w:themeFillShade="D9"/>
            <w:noWrap/>
            <w:vAlign w:val="center"/>
            <w:hideMark/>
          </w:tcPr>
          <w:p w14:paraId="15A52D24" w14:textId="77777777" w:rsidR="00F43125" w:rsidRPr="00A81C6C" w:rsidRDefault="00F43125" w:rsidP="00F43125">
            <w:pPr>
              <w:widowControl/>
              <w:jc w:val="center"/>
              <w:rPr>
                <w:rFonts w:ascii="Times New Roman" w:eastAsia="Times New Roman" w:hAnsi="Times New Roman" w:cs="Times New Roman"/>
                <w:b/>
                <w:bCs/>
                <w:color w:val="000000"/>
                <w:sz w:val="20"/>
                <w:szCs w:val="20"/>
              </w:rPr>
            </w:pPr>
            <w:r w:rsidRPr="00A81C6C">
              <w:rPr>
                <w:rFonts w:ascii="Times New Roman" w:eastAsia="Times New Roman" w:hAnsi="Times New Roman" w:cs="Times New Roman"/>
                <w:b/>
                <w:bCs/>
                <w:color w:val="000000"/>
                <w:sz w:val="20"/>
                <w:szCs w:val="20"/>
              </w:rPr>
              <w:t>Valor Total</w:t>
            </w:r>
          </w:p>
        </w:tc>
      </w:tr>
      <w:tr w:rsidR="007524EF" w:rsidRPr="00A81C6C" w14:paraId="781CFE8F" w14:textId="77777777" w:rsidTr="007D78AB">
        <w:trPr>
          <w:trHeight w:val="236"/>
          <w:jc w:val="center"/>
        </w:trPr>
        <w:tc>
          <w:tcPr>
            <w:tcW w:w="440" w:type="dxa"/>
            <w:shd w:val="clear" w:color="auto" w:fill="auto"/>
            <w:noWrap/>
            <w:vAlign w:val="center"/>
            <w:hideMark/>
          </w:tcPr>
          <w:p w14:paraId="25FA1191" w14:textId="77777777" w:rsidR="00F43125" w:rsidRPr="00A81C6C" w:rsidRDefault="00F43125" w:rsidP="00F43125">
            <w:pPr>
              <w:widowControl/>
              <w:jc w:val="center"/>
              <w:rPr>
                <w:rFonts w:ascii="Times New Roman" w:eastAsia="Times New Roman" w:hAnsi="Times New Roman" w:cs="Times New Roman"/>
                <w:b/>
                <w:bCs/>
                <w:sz w:val="20"/>
                <w:szCs w:val="20"/>
              </w:rPr>
            </w:pPr>
            <w:r w:rsidRPr="00A81C6C">
              <w:rPr>
                <w:rFonts w:ascii="Times New Roman" w:eastAsia="Times New Roman" w:hAnsi="Times New Roman" w:cs="Times New Roman"/>
                <w:b/>
                <w:bCs/>
                <w:sz w:val="20"/>
                <w:szCs w:val="20"/>
              </w:rPr>
              <w:t>101</w:t>
            </w:r>
          </w:p>
        </w:tc>
        <w:tc>
          <w:tcPr>
            <w:tcW w:w="3666" w:type="dxa"/>
            <w:shd w:val="clear" w:color="auto" w:fill="auto"/>
            <w:vAlign w:val="center"/>
            <w:hideMark/>
          </w:tcPr>
          <w:p w14:paraId="0580BA07" w14:textId="77777777" w:rsidR="00F43125" w:rsidRPr="00A81C6C" w:rsidRDefault="00F43125" w:rsidP="00F43125">
            <w:pPr>
              <w:widowControl/>
              <w:rPr>
                <w:rFonts w:ascii="Times New Roman" w:eastAsia="Times New Roman" w:hAnsi="Times New Roman" w:cs="Times New Roman"/>
                <w:sz w:val="20"/>
                <w:szCs w:val="20"/>
              </w:rPr>
            </w:pPr>
            <w:r w:rsidRPr="00A81C6C">
              <w:rPr>
                <w:rFonts w:ascii="Times New Roman" w:eastAsia="Times New Roman" w:hAnsi="Times New Roman" w:cs="Times New Roman"/>
                <w:sz w:val="20"/>
                <w:szCs w:val="20"/>
              </w:rPr>
              <w:t>Papel sulfite, a4 (210 mm x 297 mm), mínimo de 75g, branco alcalino, fabricação nacional, resma com 500 folhas</w:t>
            </w:r>
          </w:p>
        </w:tc>
        <w:tc>
          <w:tcPr>
            <w:tcW w:w="875" w:type="dxa"/>
            <w:shd w:val="clear" w:color="auto" w:fill="auto"/>
            <w:noWrap/>
            <w:vAlign w:val="center"/>
            <w:hideMark/>
          </w:tcPr>
          <w:p w14:paraId="366D438F" w14:textId="77777777" w:rsidR="00F43125" w:rsidRPr="00A81C6C" w:rsidRDefault="00F43125" w:rsidP="00F43125">
            <w:pPr>
              <w:widowControl/>
              <w:jc w:val="center"/>
              <w:rPr>
                <w:rFonts w:ascii="Times New Roman" w:eastAsia="Times New Roman" w:hAnsi="Times New Roman" w:cs="Times New Roman"/>
                <w:sz w:val="20"/>
                <w:szCs w:val="20"/>
              </w:rPr>
            </w:pPr>
            <w:r w:rsidRPr="00A81C6C">
              <w:rPr>
                <w:rFonts w:ascii="Times New Roman" w:eastAsia="Times New Roman" w:hAnsi="Times New Roman" w:cs="Times New Roman"/>
                <w:sz w:val="20"/>
                <w:szCs w:val="20"/>
              </w:rPr>
              <w:t xml:space="preserve">Resma </w:t>
            </w:r>
          </w:p>
        </w:tc>
        <w:tc>
          <w:tcPr>
            <w:tcW w:w="1354" w:type="dxa"/>
            <w:shd w:val="clear" w:color="auto" w:fill="auto"/>
            <w:noWrap/>
            <w:vAlign w:val="center"/>
            <w:hideMark/>
          </w:tcPr>
          <w:p w14:paraId="18C59473" w14:textId="77777777" w:rsidR="00F43125" w:rsidRPr="00A81C6C" w:rsidRDefault="00F43125" w:rsidP="00F43125">
            <w:pPr>
              <w:widowControl/>
              <w:jc w:val="center"/>
              <w:rPr>
                <w:rFonts w:ascii="Times New Roman" w:eastAsia="Times New Roman" w:hAnsi="Times New Roman" w:cs="Times New Roman"/>
                <w:sz w:val="20"/>
                <w:szCs w:val="20"/>
              </w:rPr>
            </w:pPr>
            <w:r w:rsidRPr="00A81C6C">
              <w:rPr>
                <w:rFonts w:ascii="Times New Roman" w:eastAsia="Times New Roman" w:hAnsi="Times New Roman" w:cs="Times New Roman"/>
                <w:sz w:val="20"/>
                <w:szCs w:val="20"/>
              </w:rPr>
              <w:t>250</w:t>
            </w:r>
          </w:p>
        </w:tc>
        <w:tc>
          <w:tcPr>
            <w:tcW w:w="1007" w:type="dxa"/>
            <w:shd w:val="clear" w:color="auto" w:fill="auto"/>
            <w:noWrap/>
            <w:vAlign w:val="center"/>
            <w:hideMark/>
          </w:tcPr>
          <w:p w14:paraId="6EDCCEE6" w14:textId="1D58FFC0" w:rsidR="00F43125" w:rsidRPr="00A81C6C" w:rsidRDefault="007D78AB" w:rsidP="00F43125">
            <w:pPr>
              <w:widowControl/>
              <w:jc w:val="center"/>
              <w:rPr>
                <w:rFonts w:ascii="Times New Roman" w:eastAsia="Times New Roman" w:hAnsi="Times New Roman" w:cs="Times New Roman"/>
                <w:sz w:val="20"/>
                <w:szCs w:val="20"/>
              </w:rPr>
            </w:pPr>
            <w:proofErr w:type="spellStart"/>
            <w:r w:rsidRPr="00A81C6C">
              <w:rPr>
                <w:rFonts w:ascii="Times New Roman" w:eastAsia="Times New Roman" w:hAnsi="Times New Roman" w:cs="Times New Roman"/>
                <w:sz w:val="20"/>
                <w:szCs w:val="20"/>
              </w:rPr>
              <w:t>Chamex</w:t>
            </w:r>
            <w:proofErr w:type="spellEnd"/>
          </w:p>
        </w:tc>
        <w:tc>
          <w:tcPr>
            <w:tcW w:w="1466" w:type="dxa"/>
            <w:shd w:val="clear" w:color="auto" w:fill="auto"/>
            <w:noWrap/>
            <w:vAlign w:val="center"/>
            <w:hideMark/>
          </w:tcPr>
          <w:p w14:paraId="27FA4691" w14:textId="77777777" w:rsidR="00F43125" w:rsidRPr="00A81C6C" w:rsidRDefault="00F43125" w:rsidP="00F43125">
            <w:pPr>
              <w:widowControl/>
              <w:jc w:val="center"/>
              <w:rPr>
                <w:rFonts w:ascii="Times New Roman" w:eastAsia="Times New Roman" w:hAnsi="Times New Roman" w:cs="Times New Roman"/>
                <w:color w:val="000000"/>
                <w:sz w:val="20"/>
                <w:szCs w:val="20"/>
              </w:rPr>
            </w:pPr>
            <w:r w:rsidRPr="00A81C6C">
              <w:rPr>
                <w:rFonts w:ascii="Times New Roman" w:eastAsia="Times New Roman" w:hAnsi="Times New Roman" w:cs="Times New Roman"/>
                <w:color w:val="000000"/>
                <w:sz w:val="20"/>
                <w:szCs w:val="20"/>
              </w:rPr>
              <w:t>R$ 18,80</w:t>
            </w:r>
          </w:p>
        </w:tc>
        <w:tc>
          <w:tcPr>
            <w:tcW w:w="1276" w:type="dxa"/>
            <w:shd w:val="clear" w:color="auto" w:fill="auto"/>
            <w:noWrap/>
            <w:vAlign w:val="center"/>
            <w:hideMark/>
          </w:tcPr>
          <w:p w14:paraId="4771E9A3" w14:textId="77777777" w:rsidR="00F43125" w:rsidRPr="00A81C6C" w:rsidRDefault="00F43125" w:rsidP="00F43125">
            <w:pPr>
              <w:widowControl/>
              <w:jc w:val="center"/>
              <w:rPr>
                <w:rFonts w:ascii="Times New Roman" w:eastAsia="Times New Roman" w:hAnsi="Times New Roman" w:cs="Times New Roman"/>
                <w:b/>
                <w:bCs/>
                <w:color w:val="000000"/>
                <w:sz w:val="20"/>
                <w:szCs w:val="20"/>
              </w:rPr>
            </w:pPr>
            <w:r w:rsidRPr="00A81C6C">
              <w:rPr>
                <w:rFonts w:ascii="Times New Roman" w:eastAsia="Times New Roman" w:hAnsi="Times New Roman" w:cs="Times New Roman"/>
                <w:b/>
                <w:bCs/>
                <w:color w:val="000000"/>
                <w:sz w:val="20"/>
                <w:szCs w:val="20"/>
              </w:rPr>
              <w:t>R$ 4.700,00</w:t>
            </w:r>
          </w:p>
        </w:tc>
      </w:tr>
    </w:tbl>
    <w:p w14:paraId="448D1392" w14:textId="512BFE56" w:rsidR="00C51409" w:rsidRDefault="00C51409" w:rsidP="009F0D1F">
      <w:pPr>
        <w:ind w:right="-15"/>
        <w:jc w:val="both"/>
        <w:rPr>
          <w:rFonts w:ascii="Times New Roman" w:eastAsia="Times New Roman" w:hAnsi="Times New Roman" w:cs="Times New Roman"/>
          <w:color w:val="000000"/>
          <w:sz w:val="23"/>
          <w:szCs w:val="23"/>
        </w:rPr>
      </w:pPr>
    </w:p>
    <w:p w14:paraId="3296A94A" w14:textId="77777777" w:rsidR="00021F25" w:rsidRPr="00C51409"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3"/>
          <w:szCs w:val="23"/>
        </w:rPr>
      </w:pPr>
      <w:r w:rsidRPr="00C51409">
        <w:rPr>
          <w:rFonts w:ascii="Times New Roman" w:eastAsia="Times New Roman" w:hAnsi="Times New Roman" w:cs="Times New Roman"/>
          <w:b/>
          <w:color w:val="FFFFFF"/>
          <w:sz w:val="23"/>
          <w:szCs w:val="23"/>
        </w:rPr>
        <w:lastRenderedPageBreak/>
        <w:t>3. Órgão Gerenciador</w:t>
      </w:r>
    </w:p>
    <w:p w14:paraId="3296A94B" w14:textId="77777777" w:rsidR="00021F25" w:rsidRPr="00C51409" w:rsidRDefault="00021F25">
      <w:pPr>
        <w:ind w:right="-15"/>
        <w:jc w:val="both"/>
        <w:rPr>
          <w:rFonts w:ascii="Times New Roman" w:eastAsia="Times New Roman" w:hAnsi="Times New Roman" w:cs="Times New Roman"/>
          <w:color w:val="000000"/>
          <w:sz w:val="23"/>
          <w:szCs w:val="23"/>
        </w:rPr>
      </w:pPr>
    </w:p>
    <w:p w14:paraId="3296A94C" w14:textId="497302B9"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3.1. O órgão gerenciador será o Conselho Federal de Economia</w:t>
      </w:r>
      <w:r w:rsidR="009C4DED" w:rsidRPr="00C51409">
        <w:rPr>
          <w:rFonts w:ascii="Times New Roman" w:eastAsia="Times New Roman" w:hAnsi="Times New Roman" w:cs="Times New Roman"/>
          <w:color w:val="000000"/>
          <w:sz w:val="23"/>
          <w:szCs w:val="23"/>
        </w:rPr>
        <w:t xml:space="preserve"> </w:t>
      </w:r>
      <w:r w:rsidRPr="00C51409">
        <w:rPr>
          <w:rFonts w:ascii="Times New Roman" w:eastAsia="Times New Roman" w:hAnsi="Times New Roman" w:cs="Times New Roman"/>
          <w:color w:val="000000"/>
          <w:sz w:val="23"/>
          <w:szCs w:val="23"/>
        </w:rPr>
        <w:t>-</w:t>
      </w:r>
      <w:r w:rsidR="009C4DED" w:rsidRPr="00C51409">
        <w:rPr>
          <w:rFonts w:ascii="Times New Roman" w:eastAsia="Times New Roman" w:hAnsi="Times New Roman" w:cs="Times New Roman"/>
          <w:color w:val="000000"/>
          <w:sz w:val="23"/>
          <w:szCs w:val="23"/>
        </w:rPr>
        <w:t xml:space="preserve"> </w:t>
      </w:r>
      <w:r w:rsidRPr="00C51409">
        <w:rPr>
          <w:rFonts w:ascii="Times New Roman" w:eastAsia="Times New Roman" w:hAnsi="Times New Roman" w:cs="Times New Roman"/>
          <w:color w:val="000000"/>
          <w:sz w:val="23"/>
          <w:szCs w:val="23"/>
        </w:rPr>
        <w:t>Cofecon.</w:t>
      </w:r>
    </w:p>
    <w:p w14:paraId="3296A94D" w14:textId="77777777" w:rsidR="00021F25" w:rsidRPr="00C51409" w:rsidRDefault="00021F25">
      <w:pPr>
        <w:ind w:right="-15"/>
        <w:jc w:val="both"/>
        <w:rPr>
          <w:rFonts w:ascii="Times New Roman" w:eastAsia="Times New Roman" w:hAnsi="Times New Roman" w:cs="Times New Roman"/>
          <w:color w:val="000000"/>
          <w:sz w:val="23"/>
          <w:szCs w:val="23"/>
        </w:rPr>
      </w:pPr>
    </w:p>
    <w:p w14:paraId="3296A94E" w14:textId="77777777" w:rsidR="00021F25" w:rsidRPr="00C51409"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3"/>
          <w:szCs w:val="23"/>
        </w:rPr>
      </w:pPr>
      <w:r w:rsidRPr="00C51409">
        <w:rPr>
          <w:rFonts w:ascii="Times New Roman" w:eastAsia="Times New Roman" w:hAnsi="Times New Roman" w:cs="Times New Roman"/>
          <w:b/>
          <w:color w:val="FFFFFF"/>
          <w:sz w:val="23"/>
          <w:szCs w:val="23"/>
        </w:rPr>
        <w:t>4. Adesão à Ata de Registro de Preços</w:t>
      </w:r>
    </w:p>
    <w:p w14:paraId="3296A94F" w14:textId="77777777" w:rsidR="00021F25" w:rsidRPr="00C51409" w:rsidRDefault="00021F25">
      <w:pPr>
        <w:ind w:right="-15"/>
        <w:jc w:val="both"/>
        <w:rPr>
          <w:rFonts w:ascii="Times New Roman" w:eastAsia="Times New Roman" w:hAnsi="Times New Roman" w:cs="Times New Roman"/>
          <w:color w:val="000000"/>
          <w:sz w:val="23"/>
          <w:szCs w:val="23"/>
        </w:rPr>
      </w:pPr>
    </w:p>
    <w:p w14:paraId="3296A950"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4.1.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8.666/1993 e no Decreto nº 7.892/2013.</w:t>
      </w:r>
    </w:p>
    <w:p w14:paraId="3296A951" w14:textId="77777777" w:rsidR="00021F25" w:rsidRPr="00C51409" w:rsidRDefault="00021F25">
      <w:pPr>
        <w:ind w:right="-15"/>
        <w:jc w:val="both"/>
        <w:rPr>
          <w:rFonts w:ascii="Times New Roman" w:eastAsia="Times New Roman" w:hAnsi="Times New Roman" w:cs="Times New Roman"/>
          <w:color w:val="000000"/>
          <w:sz w:val="23"/>
          <w:szCs w:val="23"/>
        </w:rPr>
      </w:pPr>
    </w:p>
    <w:p w14:paraId="3296A952"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4.2.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3296A953" w14:textId="77777777" w:rsidR="00021F25" w:rsidRPr="00C51409" w:rsidRDefault="00021F25">
      <w:pPr>
        <w:ind w:right="-15"/>
        <w:jc w:val="both"/>
        <w:rPr>
          <w:rFonts w:ascii="Times New Roman" w:eastAsia="Times New Roman" w:hAnsi="Times New Roman" w:cs="Times New Roman"/>
          <w:color w:val="000000"/>
          <w:sz w:val="23"/>
          <w:szCs w:val="23"/>
        </w:rPr>
      </w:pPr>
    </w:p>
    <w:p w14:paraId="3296A954"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4.3.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3296A955"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14:paraId="3296A956" w14:textId="77777777" w:rsidR="00021F25" w:rsidRPr="00C51409" w:rsidRDefault="00021F25">
      <w:pPr>
        <w:ind w:right="-15"/>
        <w:jc w:val="both"/>
        <w:rPr>
          <w:rFonts w:ascii="Times New Roman" w:eastAsia="Times New Roman" w:hAnsi="Times New Roman" w:cs="Times New Roman"/>
          <w:color w:val="000000"/>
          <w:sz w:val="23"/>
          <w:szCs w:val="23"/>
        </w:rPr>
      </w:pPr>
    </w:p>
    <w:p w14:paraId="3296A957"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 xml:space="preserve">4.4. As adesões à ata de registro de preços são limitadas, na totalidade, ao dobro do quantitativo de cada item registrado na ata de registro de preços para o órgão gerenciador e órgãos participantes, </w:t>
      </w:r>
      <w:proofErr w:type="spellStart"/>
      <w:r w:rsidRPr="00C51409">
        <w:rPr>
          <w:rFonts w:ascii="Times New Roman" w:eastAsia="Times New Roman" w:hAnsi="Times New Roman" w:cs="Times New Roman"/>
          <w:color w:val="000000"/>
          <w:sz w:val="23"/>
          <w:szCs w:val="23"/>
        </w:rPr>
        <w:t>independente</w:t>
      </w:r>
      <w:proofErr w:type="spellEnd"/>
      <w:r w:rsidRPr="00C51409">
        <w:rPr>
          <w:rFonts w:ascii="Times New Roman" w:eastAsia="Times New Roman" w:hAnsi="Times New Roman" w:cs="Times New Roman"/>
          <w:color w:val="000000"/>
          <w:sz w:val="23"/>
          <w:szCs w:val="23"/>
        </w:rPr>
        <w:t xml:space="preserve"> do número de órgãos não participantes que eventualmente aderirem.</w:t>
      </w:r>
    </w:p>
    <w:p w14:paraId="3296A958" w14:textId="77777777" w:rsidR="00021F25" w:rsidRPr="00C51409" w:rsidRDefault="00021F25">
      <w:pPr>
        <w:ind w:right="-15"/>
        <w:jc w:val="both"/>
        <w:rPr>
          <w:rFonts w:ascii="Times New Roman" w:eastAsia="Times New Roman" w:hAnsi="Times New Roman" w:cs="Times New Roman"/>
          <w:color w:val="000000"/>
          <w:sz w:val="23"/>
          <w:szCs w:val="23"/>
        </w:rPr>
      </w:pPr>
    </w:p>
    <w:p w14:paraId="3296A959"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4.5. Tratando-se de item exclusivo para microempresas e empresas de pequeno porte e cooperativas enquadradas no artigo 34 da Lei nº 11.488/2007,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3296A95A" w14:textId="77777777" w:rsidR="00021F25" w:rsidRPr="00C51409" w:rsidRDefault="00021F25">
      <w:pPr>
        <w:ind w:right="-15"/>
        <w:jc w:val="both"/>
        <w:rPr>
          <w:rFonts w:ascii="Times New Roman" w:eastAsia="Times New Roman" w:hAnsi="Times New Roman" w:cs="Times New Roman"/>
          <w:color w:val="000000"/>
          <w:sz w:val="23"/>
          <w:szCs w:val="23"/>
        </w:rPr>
      </w:pPr>
    </w:p>
    <w:p w14:paraId="3296A95B"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4.6.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3296A95C" w14:textId="77777777" w:rsidR="00021F25" w:rsidRPr="00C51409" w:rsidRDefault="00021F25">
      <w:pPr>
        <w:ind w:right="-15"/>
        <w:jc w:val="both"/>
        <w:rPr>
          <w:rFonts w:ascii="Times New Roman" w:eastAsia="Times New Roman" w:hAnsi="Times New Roman" w:cs="Times New Roman"/>
          <w:color w:val="000000"/>
          <w:sz w:val="23"/>
          <w:szCs w:val="23"/>
        </w:rPr>
      </w:pPr>
    </w:p>
    <w:p w14:paraId="3296A95D"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4.7. Após a autorização do órgão gerenciador, o órgão não participante deverá efetivar a contratação solicitada em até noventa dias, observado o prazo de validade da Ata de Registro de Preços.</w:t>
      </w:r>
    </w:p>
    <w:p w14:paraId="3296A95E" w14:textId="77777777" w:rsidR="00021F25" w:rsidRPr="00C51409" w:rsidRDefault="00021F25">
      <w:pPr>
        <w:ind w:right="-15"/>
        <w:jc w:val="both"/>
        <w:rPr>
          <w:rFonts w:ascii="Times New Roman" w:eastAsia="Times New Roman" w:hAnsi="Times New Roman" w:cs="Times New Roman"/>
          <w:color w:val="000000"/>
          <w:sz w:val="23"/>
          <w:szCs w:val="23"/>
        </w:rPr>
      </w:pPr>
    </w:p>
    <w:p w14:paraId="3296A95F"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4.8. Caberá ao órgão gerenciador autorizar, excepcional e justificadamente, a prorrogação do prazo para efetivação da contratação, respeitado o prazo de vigência da ata, desde que solicitada pelo órgão não participante.</w:t>
      </w:r>
    </w:p>
    <w:p w14:paraId="3296A960" w14:textId="7CB357DE" w:rsidR="00021F25" w:rsidRDefault="00021F25">
      <w:pPr>
        <w:ind w:right="-15"/>
        <w:jc w:val="both"/>
        <w:rPr>
          <w:rFonts w:ascii="Times New Roman" w:eastAsia="Times New Roman" w:hAnsi="Times New Roman" w:cs="Times New Roman"/>
          <w:color w:val="000000"/>
          <w:sz w:val="23"/>
          <w:szCs w:val="23"/>
        </w:rPr>
      </w:pPr>
    </w:p>
    <w:p w14:paraId="073EDD75" w14:textId="11C28415" w:rsidR="00683DAA" w:rsidRDefault="00683DAA">
      <w:pPr>
        <w:ind w:right="-15"/>
        <w:jc w:val="both"/>
        <w:rPr>
          <w:rFonts w:ascii="Times New Roman" w:eastAsia="Times New Roman" w:hAnsi="Times New Roman" w:cs="Times New Roman"/>
          <w:color w:val="000000"/>
          <w:sz w:val="23"/>
          <w:szCs w:val="23"/>
        </w:rPr>
      </w:pPr>
    </w:p>
    <w:p w14:paraId="6E51E468" w14:textId="77777777" w:rsidR="00683DAA" w:rsidRPr="00C51409" w:rsidRDefault="00683DAA">
      <w:pPr>
        <w:ind w:right="-15"/>
        <w:jc w:val="both"/>
        <w:rPr>
          <w:rFonts w:ascii="Times New Roman" w:eastAsia="Times New Roman" w:hAnsi="Times New Roman" w:cs="Times New Roman"/>
          <w:color w:val="000000"/>
          <w:sz w:val="23"/>
          <w:szCs w:val="23"/>
        </w:rPr>
      </w:pPr>
    </w:p>
    <w:p w14:paraId="3296A961" w14:textId="77777777" w:rsidR="00021F25" w:rsidRPr="00C51409"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3"/>
          <w:szCs w:val="23"/>
        </w:rPr>
      </w:pPr>
      <w:r w:rsidRPr="00C51409">
        <w:rPr>
          <w:rFonts w:ascii="Times New Roman" w:eastAsia="Times New Roman" w:hAnsi="Times New Roman" w:cs="Times New Roman"/>
          <w:b/>
          <w:color w:val="FFFFFF"/>
          <w:sz w:val="23"/>
          <w:szCs w:val="23"/>
        </w:rPr>
        <w:t>5. Validade da Ata</w:t>
      </w:r>
    </w:p>
    <w:p w14:paraId="3296A962" w14:textId="77777777" w:rsidR="00021F25" w:rsidRPr="00C51409" w:rsidRDefault="00021F25">
      <w:pPr>
        <w:ind w:right="-15"/>
        <w:jc w:val="both"/>
        <w:rPr>
          <w:rFonts w:ascii="Times New Roman" w:eastAsia="Times New Roman" w:hAnsi="Times New Roman" w:cs="Times New Roman"/>
          <w:color w:val="000000"/>
          <w:sz w:val="23"/>
          <w:szCs w:val="23"/>
        </w:rPr>
      </w:pPr>
    </w:p>
    <w:p w14:paraId="3296A963"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5.1. A validade da Ata de Registro de Preços será de 12 (doze) meses, a partir de sua assinatura, não podendo ser prorrogada.</w:t>
      </w:r>
    </w:p>
    <w:p w14:paraId="3296A964" w14:textId="77777777" w:rsidR="00021F25" w:rsidRPr="00C51409" w:rsidRDefault="00021F25">
      <w:pPr>
        <w:ind w:right="-15"/>
        <w:jc w:val="both"/>
        <w:rPr>
          <w:rFonts w:ascii="Times New Roman" w:eastAsia="Times New Roman" w:hAnsi="Times New Roman" w:cs="Times New Roman"/>
          <w:color w:val="000000"/>
          <w:sz w:val="23"/>
          <w:szCs w:val="23"/>
        </w:rPr>
      </w:pPr>
    </w:p>
    <w:p w14:paraId="3296A965" w14:textId="77777777" w:rsidR="00021F25" w:rsidRPr="00C51409"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3"/>
          <w:szCs w:val="23"/>
        </w:rPr>
      </w:pPr>
      <w:r w:rsidRPr="00C51409">
        <w:rPr>
          <w:rFonts w:ascii="Times New Roman" w:eastAsia="Times New Roman" w:hAnsi="Times New Roman" w:cs="Times New Roman"/>
          <w:b/>
          <w:color w:val="FFFFFF"/>
          <w:sz w:val="23"/>
          <w:szCs w:val="23"/>
        </w:rPr>
        <w:t>6. Revisão e Cancelamento</w:t>
      </w:r>
    </w:p>
    <w:p w14:paraId="3296A966" w14:textId="77777777" w:rsidR="00021F25" w:rsidRPr="00C51409" w:rsidRDefault="00021F25">
      <w:pPr>
        <w:ind w:right="-15"/>
        <w:jc w:val="both"/>
        <w:rPr>
          <w:rFonts w:ascii="Times New Roman" w:eastAsia="Times New Roman" w:hAnsi="Times New Roman" w:cs="Times New Roman"/>
          <w:color w:val="000000"/>
          <w:sz w:val="23"/>
          <w:szCs w:val="23"/>
        </w:rPr>
      </w:pPr>
    </w:p>
    <w:p w14:paraId="3296A967"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6.1. A Administração realizará pesquisa de mercado periodicamente, em intervalos não superiores a 180 (cento e oitenta) dias, a fim de verificar a vantajosidade dos preços registrados nesta Ata.</w:t>
      </w:r>
    </w:p>
    <w:p w14:paraId="3296A968" w14:textId="77777777" w:rsidR="00021F25" w:rsidRPr="00C51409" w:rsidRDefault="00021F25">
      <w:pPr>
        <w:ind w:right="-15"/>
        <w:jc w:val="both"/>
        <w:rPr>
          <w:rFonts w:ascii="Times New Roman" w:eastAsia="Times New Roman" w:hAnsi="Times New Roman" w:cs="Times New Roman"/>
          <w:color w:val="000000"/>
          <w:sz w:val="23"/>
          <w:szCs w:val="23"/>
        </w:rPr>
      </w:pPr>
    </w:p>
    <w:p w14:paraId="3296A969"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6.2. Os preços registrados poderão ser revistos em decorrência de eventual redução dos preços praticados no mercado ou de fato que eleve o custo do objeto registrado, cabendo à Administração promover as negociações junto ao(s) fornecedor(es).</w:t>
      </w:r>
    </w:p>
    <w:p w14:paraId="3296A96A" w14:textId="77777777" w:rsidR="00021F25" w:rsidRPr="00C51409" w:rsidRDefault="00021F25">
      <w:pPr>
        <w:ind w:right="-15"/>
        <w:jc w:val="both"/>
        <w:rPr>
          <w:rFonts w:ascii="Times New Roman" w:eastAsia="Times New Roman" w:hAnsi="Times New Roman" w:cs="Times New Roman"/>
          <w:color w:val="000000"/>
          <w:sz w:val="23"/>
          <w:szCs w:val="23"/>
        </w:rPr>
      </w:pPr>
    </w:p>
    <w:p w14:paraId="3296A96B"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 xml:space="preserve">6.3. Quando o preço registrado </w:t>
      </w:r>
      <w:proofErr w:type="gramStart"/>
      <w:r w:rsidRPr="00C51409">
        <w:rPr>
          <w:rFonts w:ascii="Times New Roman" w:eastAsia="Times New Roman" w:hAnsi="Times New Roman" w:cs="Times New Roman"/>
          <w:color w:val="000000"/>
          <w:sz w:val="23"/>
          <w:szCs w:val="23"/>
        </w:rPr>
        <w:t>tornar-se</w:t>
      </w:r>
      <w:proofErr w:type="gramEnd"/>
      <w:r w:rsidRPr="00C51409">
        <w:rPr>
          <w:rFonts w:ascii="Times New Roman" w:eastAsia="Times New Roman" w:hAnsi="Times New Roman" w:cs="Times New Roman"/>
          <w:color w:val="000000"/>
          <w:sz w:val="23"/>
          <w:szCs w:val="23"/>
        </w:rPr>
        <w:t xml:space="preserve"> superior ao preço praticado no mercado por motivo superveniente, a Administração convocará o(s) fornecedor(es) para negociar(em) a redução dos preços aos valores praticados pelo mercado.</w:t>
      </w:r>
    </w:p>
    <w:p w14:paraId="3296A96C" w14:textId="77777777" w:rsidR="00021F25" w:rsidRPr="00C51409" w:rsidRDefault="00021F25">
      <w:pPr>
        <w:ind w:right="-15"/>
        <w:jc w:val="both"/>
        <w:rPr>
          <w:rFonts w:ascii="Times New Roman" w:eastAsia="Times New Roman" w:hAnsi="Times New Roman" w:cs="Times New Roman"/>
          <w:color w:val="000000"/>
          <w:sz w:val="23"/>
          <w:szCs w:val="23"/>
        </w:rPr>
      </w:pPr>
    </w:p>
    <w:p w14:paraId="3296A96D"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6.4. O fornecedor que não aceitar reduzir seu preço ao valor praticado pelo mercado será liberado do compromisso assumido, sem aplicação de penalidade.</w:t>
      </w:r>
    </w:p>
    <w:p w14:paraId="3296A96E" w14:textId="77777777" w:rsidR="00021F25" w:rsidRPr="00C51409" w:rsidRDefault="00021F25">
      <w:pPr>
        <w:ind w:right="-15"/>
        <w:jc w:val="both"/>
        <w:rPr>
          <w:rFonts w:ascii="Times New Roman" w:eastAsia="Times New Roman" w:hAnsi="Times New Roman" w:cs="Times New Roman"/>
          <w:color w:val="000000"/>
          <w:sz w:val="23"/>
          <w:szCs w:val="23"/>
        </w:rPr>
      </w:pPr>
    </w:p>
    <w:p w14:paraId="3296A96F"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6.5. A ordem de classificação dos fornecedores que aceitarem reduzir seus preços aos valores de mercado observará a classificação original.</w:t>
      </w:r>
    </w:p>
    <w:p w14:paraId="3296A970" w14:textId="77777777" w:rsidR="00021F25" w:rsidRPr="00C51409" w:rsidRDefault="00021F25">
      <w:pPr>
        <w:ind w:right="-15"/>
        <w:jc w:val="both"/>
        <w:rPr>
          <w:rFonts w:ascii="Times New Roman" w:eastAsia="Times New Roman" w:hAnsi="Times New Roman" w:cs="Times New Roman"/>
          <w:color w:val="000000"/>
          <w:sz w:val="23"/>
          <w:szCs w:val="23"/>
        </w:rPr>
      </w:pPr>
    </w:p>
    <w:p w14:paraId="3296A971"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 xml:space="preserve">6.6. Quando o preço de mercado </w:t>
      </w:r>
      <w:proofErr w:type="gramStart"/>
      <w:r w:rsidRPr="00C51409">
        <w:rPr>
          <w:rFonts w:ascii="Times New Roman" w:eastAsia="Times New Roman" w:hAnsi="Times New Roman" w:cs="Times New Roman"/>
          <w:color w:val="000000"/>
          <w:sz w:val="23"/>
          <w:szCs w:val="23"/>
        </w:rPr>
        <w:t>tornar-se</w:t>
      </w:r>
      <w:proofErr w:type="gramEnd"/>
      <w:r w:rsidRPr="00C51409">
        <w:rPr>
          <w:rFonts w:ascii="Times New Roman" w:eastAsia="Times New Roman" w:hAnsi="Times New Roman" w:cs="Times New Roman"/>
          <w:color w:val="000000"/>
          <w:sz w:val="23"/>
          <w:szCs w:val="23"/>
        </w:rPr>
        <w:t xml:space="preserve"> superior aos preços registrados e o fornecedor não puder cumprir o compromisso, o órgão gerenciador poderá:</w:t>
      </w:r>
    </w:p>
    <w:p w14:paraId="3296A972" w14:textId="77777777" w:rsidR="00021F25" w:rsidRPr="00C51409" w:rsidRDefault="003B448E" w:rsidP="003A76FB">
      <w:pPr>
        <w:ind w:left="993"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6.6.1. liberar o fornecedor do compromisso assumido, caso a comunicação ocorra antes do pedido de fornecimento, e sem aplicação da penalidade se confirmada a veracidade dos motivos e comprovantes apresentados; e</w:t>
      </w:r>
    </w:p>
    <w:p w14:paraId="3296A973" w14:textId="77777777" w:rsidR="00021F25" w:rsidRPr="00C51409" w:rsidRDefault="003B448E" w:rsidP="003A76FB">
      <w:pPr>
        <w:ind w:left="993"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6.6.2. convocar os demais fornecedores para assegurar igual oportunidade de negociação.</w:t>
      </w:r>
    </w:p>
    <w:p w14:paraId="3296A974" w14:textId="77777777" w:rsidR="00021F25" w:rsidRPr="00C51409" w:rsidRDefault="00021F25">
      <w:pPr>
        <w:ind w:right="-15"/>
        <w:jc w:val="both"/>
        <w:rPr>
          <w:rFonts w:ascii="Times New Roman" w:eastAsia="Times New Roman" w:hAnsi="Times New Roman" w:cs="Times New Roman"/>
          <w:color w:val="000000"/>
          <w:sz w:val="23"/>
          <w:szCs w:val="23"/>
        </w:rPr>
      </w:pPr>
    </w:p>
    <w:p w14:paraId="3296A975"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6.7. Não havendo êxito nas negociações, o órgão gerenciador deverá proceder à revogação desta ata de registro de preços, adotando as medidas cabíveis para obtenção da contratação mais vantajosa.</w:t>
      </w:r>
    </w:p>
    <w:p w14:paraId="3296A976" w14:textId="77777777" w:rsidR="00021F25" w:rsidRPr="00C51409" w:rsidRDefault="00021F25">
      <w:pPr>
        <w:ind w:right="-15"/>
        <w:jc w:val="both"/>
        <w:rPr>
          <w:rFonts w:ascii="Times New Roman" w:eastAsia="Times New Roman" w:hAnsi="Times New Roman" w:cs="Times New Roman"/>
          <w:color w:val="000000"/>
          <w:sz w:val="23"/>
          <w:szCs w:val="23"/>
        </w:rPr>
      </w:pPr>
    </w:p>
    <w:p w14:paraId="3296A977"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6.8. O registro do fornecedor será cancelado quando:</w:t>
      </w:r>
    </w:p>
    <w:p w14:paraId="3296A978" w14:textId="77777777" w:rsidR="00021F25" w:rsidRPr="00C51409" w:rsidRDefault="003B448E" w:rsidP="003A76FB">
      <w:pPr>
        <w:ind w:left="993"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6.8.1. descumprir as condições da ata de registro de preços;</w:t>
      </w:r>
    </w:p>
    <w:p w14:paraId="3296A979" w14:textId="77777777" w:rsidR="00021F25" w:rsidRPr="00C51409" w:rsidRDefault="003B448E" w:rsidP="003A76FB">
      <w:pPr>
        <w:ind w:left="993"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6.8.2. não retirar a nota de empenho ou instrumento equivalente no prazo estabelecido pela Administração, sem justificativa aceitável;</w:t>
      </w:r>
    </w:p>
    <w:p w14:paraId="3296A97A" w14:textId="77777777" w:rsidR="00021F25" w:rsidRPr="00C51409" w:rsidRDefault="003B448E" w:rsidP="003A76FB">
      <w:pPr>
        <w:ind w:left="993"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6.8.3. não aceitar reduzir o seu preço registrado, na hipótese deste se tornar superior àqueles praticados no mercado; ou</w:t>
      </w:r>
    </w:p>
    <w:p w14:paraId="3296A97B" w14:textId="77777777" w:rsidR="00021F25" w:rsidRPr="00C51409" w:rsidRDefault="003B448E" w:rsidP="003A76FB">
      <w:pPr>
        <w:ind w:left="993"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6.8.4. sofrer sanção administrativa cujo efeito torne-o proibido de celebrar contrato administrativo, alcançando o órgão gerenciador e órgão(s) participante(s).</w:t>
      </w:r>
    </w:p>
    <w:p w14:paraId="3296A97C" w14:textId="77777777" w:rsidR="00021F25" w:rsidRPr="00C51409" w:rsidRDefault="00021F25">
      <w:pPr>
        <w:ind w:right="-15"/>
        <w:jc w:val="both"/>
        <w:rPr>
          <w:rFonts w:ascii="Times New Roman" w:eastAsia="Times New Roman" w:hAnsi="Times New Roman" w:cs="Times New Roman"/>
          <w:color w:val="000000"/>
          <w:sz w:val="23"/>
          <w:szCs w:val="23"/>
        </w:rPr>
      </w:pPr>
    </w:p>
    <w:p w14:paraId="3296A97D"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6.9. O cancelamento de registros nas hipóteses previstas nos itens 6.8.1, 6.8.2 e 6.8.4 será formalizado por despacho do órgão gerenciador, assegurado o contraditório e a ampla defesa.</w:t>
      </w:r>
    </w:p>
    <w:p w14:paraId="3296A97E" w14:textId="77777777" w:rsidR="00021F25" w:rsidRPr="00C51409" w:rsidRDefault="00021F25">
      <w:pPr>
        <w:ind w:right="-15"/>
        <w:jc w:val="both"/>
        <w:rPr>
          <w:rFonts w:ascii="Times New Roman" w:eastAsia="Times New Roman" w:hAnsi="Times New Roman" w:cs="Times New Roman"/>
          <w:color w:val="000000"/>
          <w:sz w:val="23"/>
          <w:szCs w:val="23"/>
        </w:rPr>
      </w:pPr>
    </w:p>
    <w:p w14:paraId="3296A97F"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6.10. O cancelamento do registro de preços poderá ocorrer por fato superveniente, decorrente de caso fortuito ou força maior, que prejudique o cumprimento da ata, devidamente comprovados e justificados:</w:t>
      </w:r>
    </w:p>
    <w:p w14:paraId="3296A980" w14:textId="77777777" w:rsidR="00021F25" w:rsidRPr="00C51409" w:rsidRDefault="003B448E" w:rsidP="003A76FB">
      <w:pPr>
        <w:ind w:left="993"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6.10.1. por razão de interesse público; ou</w:t>
      </w:r>
    </w:p>
    <w:p w14:paraId="3296A981" w14:textId="64F61D7C" w:rsidR="00021F25" w:rsidRPr="00C51409" w:rsidRDefault="003B448E" w:rsidP="003A76FB">
      <w:pPr>
        <w:ind w:left="993"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6.10.2. a pedido do fornecedor.</w:t>
      </w:r>
    </w:p>
    <w:p w14:paraId="3296A982" w14:textId="77777777" w:rsidR="00021F25" w:rsidRPr="00C51409" w:rsidRDefault="00021F25">
      <w:pPr>
        <w:ind w:right="-15"/>
        <w:jc w:val="both"/>
        <w:rPr>
          <w:rFonts w:ascii="Times New Roman" w:eastAsia="Times New Roman" w:hAnsi="Times New Roman" w:cs="Times New Roman"/>
          <w:color w:val="000000"/>
          <w:sz w:val="23"/>
          <w:szCs w:val="23"/>
        </w:rPr>
      </w:pPr>
    </w:p>
    <w:p w14:paraId="3296A983" w14:textId="77777777" w:rsidR="00021F25" w:rsidRPr="00C51409" w:rsidRDefault="003B448E" w:rsidP="00C83409">
      <w:pPr>
        <w:pBdr>
          <w:top w:val="nil"/>
          <w:left w:val="nil"/>
          <w:bottom w:val="nil"/>
          <w:right w:val="nil"/>
          <w:between w:val="nil"/>
        </w:pBdr>
        <w:shd w:val="clear" w:color="auto" w:fill="000000" w:themeFill="text1"/>
        <w:jc w:val="both"/>
        <w:rPr>
          <w:rFonts w:ascii="Times New Roman" w:hAnsi="Times New Roman" w:cs="Times New Roman"/>
          <w:color w:val="000000"/>
          <w:sz w:val="23"/>
          <w:szCs w:val="23"/>
        </w:rPr>
      </w:pPr>
      <w:r w:rsidRPr="00C51409">
        <w:rPr>
          <w:rFonts w:ascii="Times New Roman" w:eastAsia="Times New Roman" w:hAnsi="Times New Roman" w:cs="Times New Roman"/>
          <w:b/>
          <w:color w:val="FFFFFF"/>
          <w:sz w:val="23"/>
          <w:szCs w:val="23"/>
        </w:rPr>
        <w:t>7. Penalidades</w:t>
      </w:r>
    </w:p>
    <w:p w14:paraId="3296A984" w14:textId="77777777" w:rsidR="00021F25" w:rsidRPr="00C51409" w:rsidRDefault="00021F25">
      <w:pPr>
        <w:ind w:right="-15"/>
        <w:jc w:val="both"/>
        <w:rPr>
          <w:rFonts w:ascii="Times New Roman" w:eastAsia="Times New Roman" w:hAnsi="Times New Roman" w:cs="Times New Roman"/>
          <w:color w:val="000000"/>
          <w:sz w:val="23"/>
          <w:szCs w:val="23"/>
        </w:rPr>
      </w:pPr>
    </w:p>
    <w:p w14:paraId="3296A985"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7.1. O descumprimento da Ata de Registro de Preços ensejará aplicação das penalidades estabelecidas no Edital.</w:t>
      </w:r>
    </w:p>
    <w:p w14:paraId="3296A986" w14:textId="77777777" w:rsidR="00021F25" w:rsidRPr="00C51409" w:rsidRDefault="00021F25">
      <w:pPr>
        <w:ind w:right="-15"/>
        <w:jc w:val="both"/>
        <w:rPr>
          <w:rFonts w:ascii="Times New Roman" w:eastAsia="Times New Roman" w:hAnsi="Times New Roman" w:cs="Times New Roman"/>
          <w:color w:val="000000"/>
          <w:sz w:val="23"/>
          <w:szCs w:val="23"/>
        </w:rPr>
      </w:pPr>
    </w:p>
    <w:p w14:paraId="3296A987"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7.2.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296A988" w14:textId="77777777" w:rsidR="00021F25" w:rsidRPr="00C51409" w:rsidRDefault="00021F25">
      <w:pPr>
        <w:ind w:right="-15"/>
        <w:jc w:val="both"/>
        <w:rPr>
          <w:rFonts w:ascii="Times New Roman" w:eastAsia="Times New Roman" w:hAnsi="Times New Roman" w:cs="Times New Roman"/>
          <w:color w:val="000000"/>
          <w:sz w:val="23"/>
          <w:szCs w:val="23"/>
        </w:rPr>
      </w:pPr>
    </w:p>
    <w:p w14:paraId="3296A989"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7.3. O órgão participante deverá comunicar ao órgão gerenciador qualquer das ocorrências previstas no art. 20 do Decreto nº 7.892/2013, dada a necessidade de instauração de procedimento para cancelamento do registro do fornecedor.</w:t>
      </w:r>
    </w:p>
    <w:p w14:paraId="3296A98A" w14:textId="77777777" w:rsidR="00021F25" w:rsidRPr="00C51409" w:rsidRDefault="00021F25">
      <w:pPr>
        <w:ind w:right="-15"/>
        <w:jc w:val="both"/>
        <w:rPr>
          <w:rFonts w:ascii="Times New Roman" w:eastAsia="Times New Roman" w:hAnsi="Times New Roman" w:cs="Times New Roman"/>
          <w:color w:val="000000"/>
          <w:sz w:val="23"/>
          <w:szCs w:val="23"/>
        </w:rPr>
      </w:pPr>
    </w:p>
    <w:p w14:paraId="3296A98B" w14:textId="77777777" w:rsidR="00021F25" w:rsidRPr="00C51409" w:rsidRDefault="003B448E" w:rsidP="00BC57A6">
      <w:pPr>
        <w:pBdr>
          <w:top w:val="nil"/>
          <w:left w:val="nil"/>
          <w:bottom w:val="nil"/>
          <w:right w:val="nil"/>
          <w:between w:val="nil"/>
        </w:pBdr>
        <w:shd w:val="clear" w:color="auto" w:fill="000000" w:themeFill="text1"/>
        <w:jc w:val="both"/>
        <w:rPr>
          <w:rFonts w:ascii="Times New Roman" w:hAnsi="Times New Roman" w:cs="Times New Roman"/>
          <w:color w:val="000000"/>
          <w:sz w:val="23"/>
          <w:szCs w:val="23"/>
        </w:rPr>
      </w:pPr>
      <w:r w:rsidRPr="00C51409">
        <w:rPr>
          <w:rFonts w:ascii="Times New Roman" w:eastAsia="Times New Roman" w:hAnsi="Times New Roman" w:cs="Times New Roman"/>
          <w:b/>
          <w:color w:val="FFFFFF"/>
          <w:sz w:val="23"/>
          <w:szCs w:val="23"/>
        </w:rPr>
        <w:t>8. Condições Gerais</w:t>
      </w:r>
    </w:p>
    <w:p w14:paraId="3296A98C" w14:textId="77777777" w:rsidR="00021F25" w:rsidRPr="00C51409" w:rsidRDefault="00021F25">
      <w:pPr>
        <w:ind w:right="-15"/>
        <w:jc w:val="both"/>
        <w:rPr>
          <w:rFonts w:ascii="Times New Roman" w:eastAsia="Times New Roman" w:hAnsi="Times New Roman" w:cs="Times New Roman"/>
          <w:color w:val="000000"/>
          <w:sz w:val="23"/>
          <w:szCs w:val="23"/>
        </w:rPr>
      </w:pPr>
    </w:p>
    <w:p w14:paraId="3296A98D" w14:textId="7AC4A4E0"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8.1. As condições gerais do fornecimento, tais como os prazos para entrega e recebimento do objeto, as obrigações da Administração e do fornecedor registrado, penalidades e demais condições do ajuste, encontram-se definidos no Termo de Referência, A</w:t>
      </w:r>
      <w:r w:rsidR="0074628E" w:rsidRPr="00C51409">
        <w:rPr>
          <w:rFonts w:ascii="Times New Roman" w:eastAsia="Times New Roman" w:hAnsi="Times New Roman" w:cs="Times New Roman"/>
          <w:color w:val="000000"/>
          <w:sz w:val="23"/>
          <w:szCs w:val="23"/>
        </w:rPr>
        <w:t>nexo I do Edital</w:t>
      </w:r>
      <w:r w:rsidRPr="00C51409">
        <w:rPr>
          <w:rFonts w:ascii="Times New Roman" w:eastAsia="Times New Roman" w:hAnsi="Times New Roman" w:cs="Times New Roman"/>
          <w:color w:val="000000"/>
          <w:sz w:val="23"/>
          <w:szCs w:val="23"/>
        </w:rPr>
        <w:t>.</w:t>
      </w:r>
    </w:p>
    <w:p w14:paraId="3296A98E" w14:textId="77777777" w:rsidR="00021F25" w:rsidRPr="00C51409" w:rsidRDefault="00021F25">
      <w:pPr>
        <w:ind w:right="-15"/>
        <w:jc w:val="both"/>
        <w:rPr>
          <w:rFonts w:ascii="Times New Roman" w:eastAsia="Times New Roman" w:hAnsi="Times New Roman" w:cs="Times New Roman"/>
          <w:color w:val="000000"/>
          <w:sz w:val="23"/>
          <w:szCs w:val="23"/>
        </w:rPr>
      </w:pPr>
    </w:p>
    <w:p w14:paraId="3296A98F"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8.2. É vedado efetuar acréscimos nos quantitativos fixados nesta ata de registro de preços, inclusive o acréscimo de que trata o § 1º do art. 65 da Lei nº 8.666/1993, nos termos do art. 12, §1º do Decreto nº 7892/2013.</w:t>
      </w:r>
    </w:p>
    <w:p w14:paraId="3296A990" w14:textId="77777777" w:rsidR="00021F25" w:rsidRPr="00C51409" w:rsidRDefault="00021F25">
      <w:pPr>
        <w:ind w:right="-15"/>
        <w:jc w:val="both"/>
        <w:rPr>
          <w:rFonts w:ascii="Times New Roman" w:eastAsia="Times New Roman" w:hAnsi="Times New Roman" w:cs="Times New Roman"/>
          <w:color w:val="000000"/>
          <w:sz w:val="23"/>
          <w:szCs w:val="23"/>
        </w:rPr>
      </w:pPr>
    </w:p>
    <w:p w14:paraId="3296A991"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8.3. A ata de realização da sessão pública do pregão, contendo a relação dos licitantes que aceitarem cotar os bens ou serviços com preços iguais ao do licitante vencedor do certame, será anexada a esta Ata de Registro de Preços, nos termos do art. 11, § 4º do Decreto nº 7.892/2014.</w:t>
      </w:r>
    </w:p>
    <w:p w14:paraId="3296A992" w14:textId="77777777" w:rsidR="00021F25" w:rsidRPr="00C51409" w:rsidRDefault="00021F25">
      <w:pPr>
        <w:ind w:right="-15"/>
        <w:jc w:val="both"/>
        <w:rPr>
          <w:rFonts w:ascii="Times New Roman" w:eastAsia="Times New Roman" w:hAnsi="Times New Roman" w:cs="Times New Roman"/>
          <w:color w:val="000000"/>
          <w:sz w:val="23"/>
          <w:szCs w:val="23"/>
        </w:rPr>
      </w:pPr>
    </w:p>
    <w:p w14:paraId="3296A993" w14:textId="77777777" w:rsidR="00021F25" w:rsidRPr="00C51409" w:rsidRDefault="003B448E">
      <w:pPr>
        <w:ind w:right="-15"/>
        <w:jc w:val="both"/>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8.4. Para firmeza e validade do pactuado, a presente Ata foi lavrada em 2 (duas) vias de igual teor, que, depois de lida e achada em ordem, vai assinada pelas partes.</w:t>
      </w:r>
    </w:p>
    <w:p w14:paraId="3296A994" w14:textId="77777777" w:rsidR="00021F25" w:rsidRPr="00C51409" w:rsidRDefault="00021F25">
      <w:pPr>
        <w:ind w:right="-15"/>
        <w:jc w:val="both"/>
        <w:rPr>
          <w:rFonts w:ascii="Times New Roman" w:eastAsia="Times New Roman" w:hAnsi="Times New Roman" w:cs="Times New Roman"/>
          <w:color w:val="000000"/>
          <w:sz w:val="23"/>
          <w:szCs w:val="23"/>
        </w:rPr>
      </w:pPr>
    </w:p>
    <w:p w14:paraId="3296A996" w14:textId="4E8987F7" w:rsidR="00021F25" w:rsidRPr="00C51409" w:rsidRDefault="003B448E" w:rsidP="007524EF">
      <w:pPr>
        <w:ind w:right="-15"/>
        <w:jc w:val="center"/>
        <w:rPr>
          <w:rFonts w:ascii="Times New Roman" w:eastAsia="Times New Roman" w:hAnsi="Times New Roman" w:cs="Times New Roman"/>
          <w:color w:val="000000"/>
          <w:sz w:val="23"/>
          <w:szCs w:val="23"/>
        </w:rPr>
      </w:pPr>
      <w:r w:rsidRPr="00C51409">
        <w:rPr>
          <w:rFonts w:ascii="Times New Roman" w:eastAsia="Times New Roman" w:hAnsi="Times New Roman" w:cs="Times New Roman"/>
          <w:color w:val="000000"/>
          <w:sz w:val="23"/>
          <w:szCs w:val="23"/>
        </w:rPr>
        <w:t xml:space="preserve">Brasília-DF, </w:t>
      </w:r>
      <w:r w:rsidR="00821A41">
        <w:rPr>
          <w:rFonts w:ascii="Times New Roman" w:eastAsia="Times New Roman" w:hAnsi="Times New Roman" w:cs="Times New Roman"/>
          <w:color w:val="000000"/>
          <w:sz w:val="23"/>
          <w:szCs w:val="23"/>
        </w:rPr>
        <w:t xml:space="preserve">18 </w:t>
      </w:r>
      <w:r w:rsidRPr="00C51409">
        <w:rPr>
          <w:rFonts w:ascii="Times New Roman" w:eastAsia="Times New Roman" w:hAnsi="Times New Roman" w:cs="Times New Roman"/>
          <w:color w:val="000000"/>
          <w:sz w:val="23"/>
          <w:szCs w:val="23"/>
        </w:rPr>
        <w:t xml:space="preserve">de </w:t>
      </w:r>
      <w:r w:rsidR="00FF1D55" w:rsidRPr="00C51409">
        <w:rPr>
          <w:rFonts w:ascii="Times New Roman" w:eastAsia="Times New Roman" w:hAnsi="Times New Roman" w:cs="Times New Roman"/>
          <w:color w:val="000000"/>
          <w:sz w:val="23"/>
          <w:szCs w:val="23"/>
        </w:rPr>
        <w:t>julho</w:t>
      </w:r>
      <w:r w:rsidRPr="00C51409">
        <w:rPr>
          <w:rFonts w:ascii="Times New Roman" w:eastAsia="Times New Roman" w:hAnsi="Times New Roman" w:cs="Times New Roman"/>
          <w:color w:val="000000"/>
          <w:sz w:val="23"/>
          <w:szCs w:val="23"/>
        </w:rPr>
        <w:t xml:space="preserve"> de 20</w:t>
      </w:r>
      <w:r w:rsidR="000221E6" w:rsidRPr="00C51409">
        <w:rPr>
          <w:rFonts w:ascii="Times New Roman" w:eastAsia="Times New Roman" w:hAnsi="Times New Roman" w:cs="Times New Roman"/>
          <w:color w:val="000000"/>
          <w:sz w:val="23"/>
          <w:szCs w:val="23"/>
        </w:rPr>
        <w:t>2</w:t>
      </w:r>
      <w:r w:rsidR="0098135A" w:rsidRPr="00C51409">
        <w:rPr>
          <w:rFonts w:ascii="Times New Roman" w:eastAsia="Times New Roman" w:hAnsi="Times New Roman" w:cs="Times New Roman"/>
          <w:color w:val="000000"/>
          <w:sz w:val="23"/>
          <w:szCs w:val="23"/>
        </w:rPr>
        <w:t>2</w:t>
      </w:r>
    </w:p>
    <w:p w14:paraId="054B04D2" w14:textId="77777777" w:rsidR="00C51409" w:rsidRPr="00C51409" w:rsidRDefault="00C51409" w:rsidP="00821A41">
      <w:pPr>
        <w:ind w:right="-15"/>
        <w:jc w:val="both"/>
        <w:rPr>
          <w:rFonts w:ascii="Times New Roman" w:eastAsia="Times New Roman" w:hAnsi="Times New Roman" w:cs="Times New Roman"/>
          <w:color w:val="000000"/>
          <w:sz w:val="23"/>
          <w:szCs w:val="23"/>
        </w:rPr>
      </w:pPr>
    </w:p>
    <w:tbl>
      <w:tblPr>
        <w:tblW w:w="9645" w:type="dxa"/>
        <w:tblLayout w:type="fixed"/>
        <w:tblLook w:val="04A0" w:firstRow="1" w:lastRow="0" w:firstColumn="1" w:lastColumn="0" w:noHBand="0" w:noVBand="1"/>
      </w:tblPr>
      <w:tblGrid>
        <w:gridCol w:w="4822"/>
        <w:gridCol w:w="4823"/>
      </w:tblGrid>
      <w:tr w:rsidR="00CB0E4D" w14:paraId="475A63B5" w14:textId="77777777" w:rsidTr="00CB0E4D">
        <w:tc>
          <w:tcPr>
            <w:tcW w:w="4819" w:type="dxa"/>
            <w:hideMark/>
          </w:tcPr>
          <w:p w14:paraId="7891481B" w14:textId="77777777" w:rsidR="00CB0E4D" w:rsidRDefault="00CB0E4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p w14:paraId="78881D01" w14:textId="77777777" w:rsidR="00CB0E4D" w:rsidRDefault="00CB0E4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Econ. Antonio Corrêa de Lacerda</w:t>
            </w:r>
          </w:p>
          <w:p w14:paraId="18CDB078" w14:textId="77777777" w:rsidR="00CB0E4D" w:rsidRDefault="00CB0E4D">
            <w:pPr>
              <w:jc w:val="center"/>
              <w:rPr>
                <w:rFonts w:ascii="Times New Roman" w:hAnsi="Times New Roman" w:cs="Times New Roman"/>
                <w:color w:val="000000"/>
                <w:sz w:val="24"/>
                <w:szCs w:val="24"/>
              </w:rPr>
            </w:pPr>
            <w:r>
              <w:rPr>
                <w:rFonts w:ascii="Times New Roman" w:hAnsi="Times New Roman" w:cs="Times New Roman"/>
                <w:color w:val="000000"/>
                <w:sz w:val="24"/>
                <w:szCs w:val="24"/>
              </w:rPr>
              <w:t>Presidente do Cofecon</w:t>
            </w:r>
          </w:p>
        </w:tc>
        <w:tc>
          <w:tcPr>
            <w:tcW w:w="4820" w:type="dxa"/>
            <w:hideMark/>
          </w:tcPr>
          <w:p w14:paraId="25F79DDF" w14:textId="77777777" w:rsidR="00CB0E4D" w:rsidRDefault="00CB0E4D">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w:t>
            </w:r>
          </w:p>
          <w:p w14:paraId="27704948" w14:textId="77777777" w:rsidR="00CB0E4D" w:rsidRDefault="00CB0E4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Fabiana de Fátima F. S. Santos </w:t>
            </w:r>
          </w:p>
          <w:p w14:paraId="19B81DC2" w14:textId="77777777" w:rsidR="00CB0E4D" w:rsidRDefault="00CB0E4D">
            <w:pPr>
              <w:jc w:val="center"/>
              <w:rPr>
                <w:rFonts w:ascii="Times New Roman" w:hAnsi="Times New Roman" w:cs="Times New Roman"/>
                <w:color w:val="000000"/>
                <w:sz w:val="24"/>
                <w:szCs w:val="24"/>
              </w:rPr>
            </w:pPr>
            <w:r>
              <w:rPr>
                <w:rFonts w:ascii="Times New Roman" w:hAnsi="Times New Roman" w:cs="Times New Roman"/>
                <w:color w:val="000000"/>
                <w:sz w:val="24"/>
                <w:szCs w:val="24"/>
              </w:rPr>
              <w:t>Representante da Empresa</w:t>
            </w:r>
          </w:p>
        </w:tc>
      </w:tr>
    </w:tbl>
    <w:p w14:paraId="33CCCFE5" w14:textId="77777777" w:rsidR="00CB0E4D" w:rsidRPr="00C51409" w:rsidRDefault="00CB0E4D">
      <w:pPr>
        <w:ind w:right="-15"/>
        <w:jc w:val="both"/>
        <w:rPr>
          <w:rFonts w:ascii="Times New Roman" w:eastAsia="Times New Roman" w:hAnsi="Times New Roman" w:cs="Times New Roman"/>
          <w:color w:val="000000"/>
          <w:sz w:val="23"/>
          <w:szCs w:val="23"/>
        </w:rPr>
      </w:pPr>
    </w:p>
    <w:tbl>
      <w:tblPr>
        <w:tblW w:w="9639" w:type="dxa"/>
        <w:tblLayout w:type="fixed"/>
        <w:tblLook w:val="0000" w:firstRow="0" w:lastRow="0" w:firstColumn="0" w:lastColumn="0" w:noHBand="0" w:noVBand="0"/>
      </w:tblPr>
      <w:tblGrid>
        <w:gridCol w:w="4819"/>
        <w:gridCol w:w="4820"/>
      </w:tblGrid>
      <w:tr w:rsidR="00C51409" w:rsidRPr="00C51409" w14:paraId="14D71CCD" w14:textId="77777777" w:rsidTr="00880AAA">
        <w:tc>
          <w:tcPr>
            <w:tcW w:w="4819" w:type="dxa"/>
            <w:shd w:val="clear" w:color="auto" w:fill="auto"/>
          </w:tcPr>
          <w:p w14:paraId="021E0170" w14:textId="77777777" w:rsidR="00C51409" w:rsidRPr="00C51409" w:rsidRDefault="00C51409" w:rsidP="00880AAA">
            <w:pPr>
              <w:pBdr>
                <w:top w:val="nil"/>
                <w:left w:val="nil"/>
                <w:bottom w:val="nil"/>
                <w:right w:val="nil"/>
                <w:between w:val="nil"/>
              </w:pBdr>
              <w:rPr>
                <w:rFonts w:ascii="Times New Roman" w:hAnsi="Times New Roman" w:cs="Times New Roman"/>
                <w:sz w:val="23"/>
                <w:szCs w:val="23"/>
              </w:rPr>
            </w:pPr>
            <w:r w:rsidRPr="00C51409">
              <w:rPr>
                <w:rFonts w:ascii="Times New Roman" w:hAnsi="Times New Roman" w:cs="Times New Roman"/>
                <w:sz w:val="23"/>
                <w:szCs w:val="23"/>
              </w:rPr>
              <w:t>Testemunha 1:</w:t>
            </w:r>
          </w:p>
          <w:p w14:paraId="5429E8D3" w14:textId="77777777" w:rsidR="00C51409" w:rsidRPr="00C51409" w:rsidRDefault="00C51409" w:rsidP="00880AAA">
            <w:pPr>
              <w:pBdr>
                <w:top w:val="nil"/>
                <w:left w:val="nil"/>
                <w:bottom w:val="nil"/>
                <w:right w:val="nil"/>
                <w:between w:val="nil"/>
              </w:pBdr>
              <w:rPr>
                <w:rFonts w:ascii="Times New Roman" w:hAnsi="Times New Roman" w:cs="Times New Roman"/>
                <w:sz w:val="23"/>
                <w:szCs w:val="23"/>
              </w:rPr>
            </w:pPr>
            <w:r w:rsidRPr="00C51409">
              <w:rPr>
                <w:rFonts w:ascii="Times New Roman" w:hAnsi="Times New Roman" w:cs="Times New Roman"/>
                <w:sz w:val="23"/>
                <w:szCs w:val="23"/>
              </w:rPr>
              <w:t>______________________________________</w:t>
            </w:r>
          </w:p>
          <w:p w14:paraId="66D5B6E7" w14:textId="77777777" w:rsidR="00C51409" w:rsidRPr="00C51409" w:rsidRDefault="00C51409" w:rsidP="00880AAA">
            <w:pPr>
              <w:pBdr>
                <w:top w:val="nil"/>
                <w:left w:val="nil"/>
                <w:bottom w:val="nil"/>
                <w:right w:val="nil"/>
                <w:between w:val="nil"/>
              </w:pBdr>
              <w:rPr>
                <w:rFonts w:ascii="Times New Roman" w:hAnsi="Times New Roman" w:cs="Times New Roman"/>
                <w:sz w:val="23"/>
                <w:szCs w:val="23"/>
              </w:rPr>
            </w:pPr>
            <w:r w:rsidRPr="00C51409">
              <w:rPr>
                <w:rFonts w:ascii="Times New Roman" w:hAnsi="Times New Roman" w:cs="Times New Roman"/>
                <w:sz w:val="23"/>
                <w:szCs w:val="23"/>
              </w:rPr>
              <w:t>Nome:</w:t>
            </w:r>
          </w:p>
          <w:p w14:paraId="2FD69B01" w14:textId="77777777" w:rsidR="00C51409" w:rsidRPr="00C51409" w:rsidRDefault="00C51409" w:rsidP="00880AAA">
            <w:pPr>
              <w:pBdr>
                <w:top w:val="nil"/>
                <w:left w:val="nil"/>
                <w:bottom w:val="nil"/>
                <w:right w:val="nil"/>
                <w:between w:val="nil"/>
              </w:pBdr>
              <w:rPr>
                <w:rFonts w:ascii="Times New Roman" w:hAnsi="Times New Roman" w:cs="Times New Roman"/>
                <w:sz w:val="23"/>
                <w:szCs w:val="23"/>
              </w:rPr>
            </w:pPr>
            <w:r w:rsidRPr="00C51409">
              <w:rPr>
                <w:rFonts w:ascii="Times New Roman" w:hAnsi="Times New Roman" w:cs="Times New Roman"/>
                <w:sz w:val="23"/>
                <w:szCs w:val="23"/>
              </w:rPr>
              <w:t>CPF:</w:t>
            </w:r>
          </w:p>
        </w:tc>
        <w:tc>
          <w:tcPr>
            <w:tcW w:w="4820" w:type="dxa"/>
            <w:shd w:val="clear" w:color="auto" w:fill="auto"/>
          </w:tcPr>
          <w:p w14:paraId="57053C18" w14:textId="77777777" w:rsidR="00C51409" w:rsidRPr="00C51409" w:rsidRDefault="00C51409" w:rsidP="00880AAA">
            <w:pPr>
              <w:pBdr>
                <w:top w:val="nil"/>
                <w:left w:val="nil"/>
                <w:bottom w:val="nil"/>
                <w:right w:val="nil"/>
                <w:between w:val="nil"/>
              </w:pBdr>
              <w:rPr>
                <w:rFonts w:ascii="Times New Roman" w:hAnsi="Times New Roman" w:cs="Times New Roman"/>
                <w:sz w:val="23"/>
                <w:szCs w:val="23"/>
              </w:rPr>
            </w:pPr>
            <w:r w:rsidRPr="00C51409">
              <w:rPr>
                <w:rFonts w:ascii="Times New Roman" w:hAnsi="Times New Roman" w:cs="Times New Roman"/>
                <w:sz w:val="23"/>
                <w:szCs w:val="23"/>
              </w:rPr>
              <w:t>Testemunha 2:</w:t>
            </w:r>
          </w:p>
          <w:p w14:paraId="7EDF5089" w14:textId="77777777" w:rsidR="00C51409" w:rsidRPr="00C51409" w:rsidRDefault="00C51409" w:rsidP="00880AAA">
            <w:pPr>
              <w:pBdr>
                <w:top w:val="nil"/>
                <w:left w:val="nil"/>
                <w:bottom w:val="nil"/>
                <w:right w:val="nil"/>
                <w:between w:val="nil"/>
              </w:pBdr>
              <w:rPr>
                <w:rFonts w:ascii="Times New Roman" w:hAnsi="Times New Roman" w:cs="Times New Roman"/>
                <w:sz w:val="23"/>
                <w:szCs w:val="23"/>
              </w:rPr>
            </w:pPr>
            <w:r w:rsidRPr="00C51409">
              <w:rPr>
                <w:rFonts w:ascii="Times New Roman" w:hAnsi="Times New Roman" w:cs="Times New Roman"/>
                <w:sz w:val="23"/>
                <w:szCs w:val="23"/>
              </w:rPr>
              <w:t>______________________________________</w:t>
            </w:r>
          </w:p>
          <w:p w14:paraId="5821A695" w14:textId="77777777" w:rsidR="00C51409" w:rsidRPr="00C51409" w:rsidRDefault="00C51409" w:rsidP="00880AAA">
            <w:pPr>
              <w:pBdr>
                <w:top w:val="nil"/>
                <w:left w:val="nil"/>
                <w:bottom w:val="nil"/>
                <w:right w:val="nil"/>
                <w:between w:val="nil"/>
              </w:pBdr>
              <w:rPr>
                <w:rFonts w:ascii="Times New Roman" w:hAnsi="Times New Roman" w:cs="Times New Roman"/>
                <w:sz w:val="23"/>
                <w:szCs w:val="23"/>
              </w:rPr>
            </w:pPr>
            <w:r w:rsidRPr="00C51409">
              <w:rPr>
                <w:rFonts w:ascii="Times New Roman" w:hAnsi="Times New Roman" w:cs="Times New Roman"/>
                <w:sz w:val="23"/>
                <w:szCs w:val="23"/>
              </w:rPr>
              <w:t>Nome:</w:t>
            </w:r>
          </w:p>
          <w:p w14:paraId="1E008410" w14:textId="77777777" w:rsidR="00C51409" w:rsidRPr="00C51409" w:rsidRDefault="00C51409" w:rsidP="00880AAA">
            <w:pPr>
              <w:pBdr>
                <w:top w:val="nil"/>
                <w:left w:val="nil"/>
                <w:bottom w:val="nil"/>
                <w:right w:val="nil"/>
                <w:between w:val="nil"/>
              </w:pBdr>
              <w:rPr>
                <w:rFonts w:ascii="Times New Roman" w:hAnsi="Times New Roman" w:cs="Times New Roman"/>
                <w:sz w:val="23"/>
                <w:szCs w:val="23"/>
              </w:rPr>
            </w:pPr>
            <w:r w:rsidRPr="00C51409">
              <w:rPr>
                <w:rFonts w:ascii="Times New Roman" w:hAnsi="Times New Roman" w:cs="Times New Roman"/>
                <w:sz w:val="23"/>
                <w:szCs w:val="23"/>
              </w:rPr>
              <w:t>CPF:</w:t>
            </w:r>
          </w:p>
        </w:tc>
      </w:tr>
    </w:tbl>
    <w:p w14:paraId="74FC5AC4" w14:textId="08AA2743" w:rsidR="00053E69" w:rsidRPr="00C51409" w:rsidRDefault="00053E69">
      <w:pPr>
        <w:rPr>
          <w:rFonts w:ascii="Times New Roman" w:eastAsia="Times New Roman" w:hAnsi="Times New Roman" w:cs="Times New Roman"/>
          <w:color w:val="000000"/>
          <w:sz w:val="23"/>
          <w:szCs w:val="23"/>
        </w:rPr>
      </w:pPr>
    </w:p>
    <w:sectPr w:rsidR="00053E69" w:rsidRPr="00C51409" w:rsidSect="00F24242">
      <w:headerReference w:type="default" r:id="rId9"/>
      <w:footerReference w:type="default" r:id="rId10"/>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7A68" w14:textId="77777777" w:rsidR="003B448E" w:rsidRDefault="003B448E">
      <w:r>
        <w:separator/>
      </w:r>
    </w:p>
  </w:endnote>
  <w:endnote w:type="continuationSeparator" w:id="0">
    <w:p w14:paraId="6475C260" w14:textId="77777777" w:rsidR="003B448E" w:rsidRDefault="003B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B" w14:textId="214A97CA" w:rsidR="00021F25" w:rsidRDefault="003B448E">
    <w:pPr>
      <w:pBdr>
        <w:top w:val="nil"/>
        <w:left w:val="nil"/>
        <w:bottom w:val="nil"/>
        <w:right w:val="nil"/>
        <w:between w:val="nil"/>
      </w:pBdr>
      <w:rPr>
        <w:color w:val="000000"/>
      </w:rPr>
    </w:pPr>
    <w:r>
      <w:rPr>
        <w:rFonts w:ascii="Times New Roman" w:eastAsia="Times New Roman" w:hAnsi="Times New Roman" w:cs="Times New Roman"/>
        <w:color w:val="000000"/>
        <w:sz w:val="20"/>
        <w:szCs w:val="20"/>
      </w:rPr>
      <w:t xml:space="preserve">Página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de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F24242">
      <w:rPr>
        <w:rFonts w:ascii="Times New Roman" w:eastAsia="Times New Roman" w:hAnsi="Times New Roman" w:cs="Times New Roman"/>
        <w:color w:val="000000"/>
        <w:sz w:val="20"/>
        <w:szCs w:val="20"/>
      </w:rPr>
      <w:t xml:space="preserve">    </w:t>
    </w:r>
    <w:r w:rsidR="00F24242">
      <w:rPr>
        <w:noProof/>
        <w:color w:val="000000"/>
      </w:rPr>
      <w:drawing>
        <wp:inline distT="0" distB="0" distL="0" distR="0" wp14:anchorId="28A4C27B" wp14:editId="1A4B5167">
          <wp:extent cx="3664800" cy="543600"/>
          <wp:effectExtent l="0" t="0" r="0" b="8890"/>
          <wp:docPr id="2"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3BD0" w14:textId="77777777" w:rsidR="003B448E" w:rsidRDefault="003B448E">
      <w:r>
        <w:separator/>
      </w:r>
    </w:p>
  </w:footnote>
  <w:footnote w:type="continuationSeparator" w:id="0">
    <w:p w14:paraId="3AECCECA" w14:textId="77777777" w:rsidR="003B448E" w:rsidRDefault="003B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9" w14:textId="699DC84C" w:rsidR="00021F25" w:rsidRPr="008F7159" w:rsidRDefault="00AD6E7A">
    <w:pPr>
      <w:pBdr>
        <w:top w:val="nil"/>
        <w:left w:val="nil"/>
        <w:bottom w:val="nil"/>
        <w:right w:val="nil"/>
        <w:between w:val="nil"/>
      </w:pBdr>
      <w:jc w:val="center"/>
      <w:rPr>
        <w:rFonts w:ascii="Times New Roman" w:hAnsi="Times New Roman" w:cs="Times New Roman"/>
        <w:color w:val="000000"/>
        <w:sz w:val="24"/>
        <w:szCs w:val="24"/>
      </w:rPr>
    </w:pPr>
    <w:r>
      <w:rPr>
        <w:noProof/>
        <w:color w:val="000000"/>
      </w:rPr>
      <w:drawing>
        <wp:inline distT="0" distB="0" distL="0" distR="0" wp14:anchorId="475CDF3E" wp14:editId="0D868D96">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3296A9AA" w14:textId="77777777" w:rsidR="00021F25" w:rsidRPr="008F7159" w:rsidRDefault="00021F25">
    <w:pPr>
      <w:pBdr>
        <w:top w:val="nil"/>
        <w:left w:val="nil"/>
        <w:bottom w:val="nil"/>
        <w:right w:val="nil"/>
        <w:between w:val="nil"/>
      </w:pBdr>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25"/>
    <w:rsid w:val="000030CC"/>
    <w:rsid w:val="00011F3B"/>
    <w:rsid w:val="000150B5"/>
    <w:rsid w:val="00021F25"/>
    <w:rsid w:val="000221E6"/>
    <w:rsid w:val="00032AA0"/>
    <w:rsid w:val="0005236F"/>
    <w:rsid w:val="00053E69"/>
    <w:rsid w:val="00064DE9"/>
    <w:rsid w:val="0007758F"/>
    <w:rsid w:val="000836D6"/>
    <w:rsid w:val="0009557F"/>
    <w:rsid w:val="00097289"/>
    <w:rsid w:val="000A349F"/>
    <w:rsid w:val="000D1FE5"/>
    <w:rsid w:val="000D3945"/>
    <w:rsid w:val="000E416B"/>
    <w:rsid w:val="000F3A47"/>
    <w:rsid w:val="00105CC6"/>
    <w:rsid w:val="001109E7"/>
    <w:rsid w:val="001111CB"/>
    <w:rsid w:val="001133AF"/>
    <w:rsid w:val="00127E0B"/>
    <w:rsid w:val="00135395"/>
    <w:rsid w:val="0016057A"/>
    <w:rsid w:val="00175D76"/>
    <w:rsid w:val="001A0E2F"/>
    <w:rsid w:val="001A7B59"/>
    <w:rsid w:val="001C1496"/>
    <w:rsid w:val="001E35FA"/>
    <w:rsid w:val="0023570E"/>
    <w:rsid w:val="00247542"/>
    <w:rsid w:val="002864A0"/>
    <w:rsid w:val="002B2B05"/>
    <w:rsid w:val="002D252D"/>
    <w:rsid w:val="002F657C"/>
    <w:rsid w:val="00312BBB"/>
    <w:rsid w:val="003262CB"/>
    <w:rsid w:val="00351E71"/>
    <w:rsid w:val="003643CE"/>
    <w:rsid w:val="00372D04"/>
    <w:rsid w:val="00375658"/>
    <w:rsid w:val="00376E8A"/>
    <w:rsid w:val="00376F84"/>
    <w:rsid w:val="00395E87"/>
    <w:rsid w:val="003A47BE"/>
    <w:rsid w:val="003A76FB"/>
    <w:rsid w:val="003B448E"/>
    <w:rsid w:val="003C23BE"/>
    <w:rsid w:val="003C2D43"/>
    <w:rsid w:val="003D0F13"/>
    <w:rsid w:val="003D6F61"/>
    <w:rsid w:val="003D75CE"/>
    <w:rsid w:val="003E06B5"/>
    <w:rsid w:val="003E3231"/>
    <w:rsid w:val="004226DE"/>
    <w:rsid w:val="00424C34"/>
    <w:rsid w:val="00446E9B"/>
    <w:rsid w:val="0045110F"/>
    <w:rsid w:val="00456501"/>
    <w:rsid w:val="004766E1"/>
    <w:rsid w:val="00482808"/>
    <w:rsid w:val="0048603D"/>
    <w:rsid w:val="00496A9C"/>
    <w:rsid w:val="0050267E"/>
    <w:rsid w:val="00502C66"/>
    <w:rsid w:val="00533FA9"/>
    <w:rsid w:val="005413C2"/>
    <w:rsid w:val="0056069E"/>
    <w:rsid w:val="0056130D"/>
    <w:rsid w:val="005625AB"/>
    <w:rsid w:val="00597D0B"/>
    <w:rsid w:val="005A1B44"/>
    <w:rsid w:val="005B2A68"/>
    <w:rsid w:val="005B3EF2"/>
    <w:rsid w:val="005C517A"/>
    <w:rsid w:val="005C5745"/>
    <w:rsid w:val="005C5905"/>
    <w:rsid w:val="005C77A2"/>
    <w:rsid w:val="005F51B4"/>
    <w:rsid w:val="00600790"/>
    <w:rsid w:val="00604E37"/>
    <w:rsid w:val="00612FCE"/>
    <w:rsid w:val="00622766"/>
    <w:rsid w:val="00626FE2"/>
    <w:rsid w:val="00647E66"/>
    <w:rsid w:val="0066035B"/>
    <w:rsid w:val="00683DAA"/>
    <w:rsid w:val="006C3B2E"/>
    <w:rsid w:val="006C71A7"/>
    <w:rsid w:val="006D159E"/>
    <w:rsid w:val="006D2B88"/>
    <w:rsid w:val="00715A88"/>
    <w:rsid w:val="00716333"/>
    <w:rsid w:val="00732DE6"/>
    <w:rsid w:val="00734EB5"/>
    <w:rsid w:val="00740EB5"/>
    <w:rsid w:val="00745FFB"/>
    <w:rsid w:val="0074628E"/>
    <w:rsid w:val="007524EF"/>
    <w:rsid w:val="00764DBC"/>
    <w:rsid w:val="00782C80"/>
    <w:rsid w:val="007A4452"/>
    <w:rsid w:val="007D78AB"/>
    <w:rsid w:val="007E27B4"/>
    <w:rsid w:val="007E502D"/>
    <w:rsid w:val="007E615D"/>
    <w:rsid w:val="007F1BFA"/>
    <w:rsid w:val="00804093"/>
    <w:rsid w:val="008051E6"/>
    <w:rsid w:val="008056F5"/>
    <w:rsid w:val="00821A41"/>
    <w:rsid w:val="00825E94"/>
    <w:rsid w:val="00833549"/>
    <w:rsid w:val="00841D18"/>
    <w:rsid w:val="008667FE"/>
    <w:rsid w:val="008A38A7"/>
    <w:rsid w:val="008B228F"/>
    <w:rsid w:val="008C18C5"/>
    <w:rsid w:val="008E0B86"/>
    <w:rsid w:val="008E6E51"/>
    <w:rsid w:val="008F706F"/>
    <w:rsid w:val="008F7159"/>
    <w:rsid w:val="009070F2"/>
    <w:rsid w:val="00907BCE"/>
    <w:rsid w:val="00912B0F"/>
    <w:rsid w:val="009164FD"/>
    <w:rsid w:val="009406B1"/>
    <w:rsid w:val="009735DB"/>
    <w:rsid w:val="0098135A"/>
    <w:rsid w:val="00986AE0"/>
    <w:rsid w:val="009B6D98"/>
    <w:rsid w:val="009C2BF4"/>
    <w:rsid w:val="009C4DED"/>
    <w:rsid w:val="009D309C"/>
    <w:rsid w:val="009F0B53"/>
    <w:rsid w:val="009F0D1F"/>
    <w:rsid w:val="009F4C71"/>
    <w:rsid w:val="00A07D16"/>
    <w:rsid w:val="00A15905"/>
    <w:rsid w:val="00A522BF"/>
    <w:rsid w:val="00A52B62"/>
    <w:rsid w:val="00A57E11"/>
    <w:rsid w:val="00A64BFA"/>
    <w:rsid w:val="00A70983"/>
    <w:rsid w:val="00A76071"/>
    <w:rsid w:val="00A77AEA"/>
    <w:rsid w:val="00A81C6C"/>
    <w:rsid w:val="00A835B9"/>
    <w:rsid w:val="00A85360"/>
    <w:rsid w:val="00A945A7"/>
    <w:rsid w:val="00AA45AD"/>
    <w:rsid w:val="00AB2C54"/>
    <w:rsid w:val="00AB5678"/>
    <w:rsid w:val="00AD17C5"/>
    <w:rsid w:val="00AD28C9"/>
    <w:rsid w:val="00AD6E7A"/>
    <w:rsid w:val="00AD7177"/>
    <w:rsid w:val="00AE0AE9"/>
    <w:rsid w:val="00AE4B2B"/>
    <w:rsid w:val="00AF3F3C"/>
    <w:rsid w:val="00B113B7"/>
    <w:rsid w:val="00B11E62"/>
    <w:rsid w:val="00B14107"/>
    <w:rsid w:val="00B159C1"/>
    <w:rsid w:val="00B170D3"/>
    <w:rsid w:val="00B22768"/>
    <w:rsid w:val="00B41411"/>
    <w:rsid w:val="00B50183"/>
    <w:rsid w:val="00B538BA"/>
    <w:rsid w:val="00BA086B"/>
    <w:rsid w:val="00BB5AB0"/>
    <w:rsid w:val="00BC1473"/>
    <w:rsid w:val="00BC57A6"/>
    <w:rsid w:val="00BE2454"/>
    <w:rsid w:val="00BE5B50"/>
    <w:rsid w:val="00C0058B"/>
    <w:rsid w:val="00C1259D"/>
    <w:rsid w:val="00C132F9"/>
    <w:rsid w:val="00C13B6D"/>
    <w:rsid w:val="00C2089E"/>
    <w:rsid w:val="00C34B84"/>
    <w:rsid w:val="00C51409"/>
    <w:rsid w:val="00C55F6A"/>
    <w:rsid w:val="00C64A52"/>
    <w:rsid w:val="00C67C65"/>
    <w:rsid w:val="00C7325F"/>
    <w:rsid w:val="00C83409"/>
    <w:rsid w:val="00C85001"/>
    <w:rsid w:val="00C92838"/>
    <w:rsid w:val="00CA0185"/>
    <w:rsid w:val="00CB0E4D"/>
    <w:rsid w:val="00CB18BD"/>
    <w:rsid w:val="00CF6FBE"/>
    <w:rsid w:val="00D01DE0"/>
    <w:rsid w:val="00D04DDA"/>
    <w:rsid w:val="00D20D38"/>
    <w:rsid w:val="00D25DFA"/>
    <w:rsid w:val="00D32C22"/>
    <w:rsid w:val="00D4529E"/>
    <w:rsid w:val="00D513D5"/>
    <w:rsid w:val="00D72DFC"/>
    <w:rsid w:val="00D74A49"/>
    <w:rsid w:val="00D77B0E"/>
    <w:rsid w:val="00D80420"/>
    <w:rsid w:val="00D94B93"/>
    <w:rsid w:val="00DD615A"/>
    <w:rsid w:val="00DD7055"/>
    <w:rsid w:val="00DF0273"/>
    <w:rsid w:val="00E066BE"/>
    <w:rsid w:val="00E11550"/>
    <w:rsid w:val="00E155D1"/>
    <w:rsid w:val="00E17E90"/>
    <w:rsid w:val="00E26FF0"/>
    <w:rsid w:val="00E42D7C"/>
    <w:rsid w:val="00E467A4"/>
    <w:rsid w:val="00E624C4"/>
    <w:rsid w:val="00E6789E"/>
    <w:rsid w:val="00E772E7"/>
    <w:rsid w:val="00E87194"/>
    <w:rsid w:val="00EA1282"/>
    <w:rsid w:val="00EA22C7"/>
    <w:rsid w:val="00EC6DF0"/>
    <w:rsid w:val="00ED2417"/>
    <w:rsid w:val="00ED59FF"/>
    <w:rsid w:val="00ED641F"/>
    <w:rsid w:val="00EE3E48"/>
    <w:rsid w:val="00EE46D3"/>
    <w:rsid w:val="00EF18CB"/>
    <w:rsid w:val="00EF4CE9"/>
    <w:rsid w:val="00F019D7"/>
    <w:rsid w:val="00F22381"/>
    <w:rsid w:val="00F22D3E"/>
    <w:rsid w:val="00F23FA2"/>
    <w:rsid w:val="00F24242"/>
    <w:rsid w:val="00F26CFB"/>
    <w:rsid w:val="00F43125"/>
    <w:rsid w:val="00F50DE8"/>
    <w:rsid w:val="00F54F1C"/>
    <w:rsid w:val="00F60F72"/>
    <w:rsid w:val="00F73511"/>
    <w:rsid w:val="00F81A04"/>
    <w:rsid w:val="00F829A9"/>
    <w:rsid w:val="00F83C72"/>
    <w:rsid w:val="00F97CB1"/>
    <w:rsid w:val="00FB42B7"/>
    <w:rsid w:val="00FB60C1"/>
    <w:rsid w:val="00FC3669"/>
    <w:rsid w:val="00FD08C8"/>
    <w:rsid w:val="00FD1502"/>
    <w:rsid w:val="00FD2C9B"/>
    <w:rsid w:val="00FE7C71"/>
    <w:rsid w:val="00FF1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6A34E"/>
  <w15:docId w15:val="{A4E7253B-CAEA-4F8C-BBD9-B3AE66EF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A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paragraph" w:styleId="Cabealho">
    <w:name w:val="header"/>
    <w:basedOn w:val="Normal"/>
    <w:link w:val="CabealhoChar"/>
    <w:uiPriority w:val="99"/>
    <w:unhideWhenUsed/>
    <w:rsid w:val="00AD6E7A"/>
    <w:pPr>
      <w:tabs>
        <w:tab w:val="center" w:pos="4252"/>
        <w:tab w:val="right" w:pos="8504"/>
      </w:tabs>
    </w:pPr>
  </w:style>
  <w:style w:type="character" w:customStyle="1" w:styleId="CabealhoChar">
    <w:name w:val="Cabeçalho Char"/>
    <w:basedOn w:val="Fontepargpadro"/>
    <w:link w:val="Cabealho"/>
    <w:uiPriority w:val="99"/>
    <w:rsid w:val="00AD6E7A"/>
  </w:style>
  <w:style w:type="paragraph" w:styleId="Rodap">
    <w:name w:val="footer"/>
    <w:basedOn w:val="Normal"/>
    <w:link w:val="RodapChar"/>
    <w:uiPriority w:val="99"/>
    <w:unhideWhenUsed/>
    <w:rsid w:val="00AD6E7A"/>
    <w:pPr>
      <w:tabs>
        <w:tab w:val="center" w:pos="4252"/>
        <w:tab w:val="right" w:pos="8504"/>
      </w:tabs>
    </w:pPr>
  </w:style>
  <w:style w:type="character" w:customStyle="1" w:styleId="RodapChar">
    <w:name w:val="Rodapé Char"/>
    <w:basedOn w:val="Fontepargpadro"/>
    <w:link w:val="Rodap"/>
    <w:uiPriority w:val="99"/>
    <w:rsid w:val="00AD6E7A"/>
  </w:style>
  <w:style w:type="character" w:styleId="Hyperlink">
    <w:name w:val="Hyperlink"/>
    <w:basedOn w:val="Fontepargpadro"/>
    <w:uiPriority w:val="99"/>
    <w:unhideWhenUsed/>
    <w:rsid w:val="00F83C72"/>
    <w:rPr>
      <w:color w:val="0000FF" w:themeColor="hyperlink"/>
      <w:u w:val="single"/>
    </w:rPr>
  </w:style>
  <w:style w:type="character" w:styleId="MenoPendente">
    <w:name w:val="Unresolved Mention"/>
    <w:basedOn w:val="Fontepargpadro"/>
    <w:uiPriority w:val="99"/>
    <w:semiHidden/>
    <w:unhideWhenUsed/>
    <w:rsid w:val="00F83C72"/>
    <w:rPr>
      <w:color w:val="605E5C"/>
      <w:shd w:val="clear" w:color="auto" w:fill="E1DFDD"/>
    </w:rPr>
  </w:style>
  <w:style w:type="table" w:styleId="Tabelacomgrade">
    <w:name w:val="Table Grid"/>
    <w:basedOn w:val="Tabelanormal"/>
    <w:uiPriority w:val="39"/>
    <w:rsid w:val="0066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87194"/>
    <w:pPr>
      <w:widowControl/>
      <w:ind w:left="720"/>
      <w:contextualSpacing/>
      <w:jc w:val="both"/>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906">
      <w:bodyDiv w:val="1"/>
      <w:marLeft w:val="0"/>
      <w:marRight w:val="0"/>
      <w:marTop w:val="0"/>
      <w:marBottom w:val="0"/>
      <w:divBdr>
        <w:top w:val="none" w:sz="0" w:space="0" w:color="auto"/>
        <w:left w:val="none" w:sz="0" w:space="0" w:color="auto"/>
        <w:bottom w:val="none" w:sz="0" w:space="0" w:color="auto"/>
        <w:right w:val="none" w:sz="0" w:space="0" w:color="auto"/>
      </w:divBdr>
    </w:div>
    <w:div w:id="593126204">
      <w:bodyDiv w:val="1"/>
      <w:marLeft w:val="0"/>
      <w:marRight w:val="0"/>
      <w:marTop w:val="0"/>
      <w:marBottom w:val="0"/>
      <w:divBdr>
        <w:top w:val="none" w:sz="0" w:space="0" w:color="auto"/>
        <w:left w:val="none" w:sz="0" w:space="0" w:color="auto"/>
        <w:bottom w:val="none" w:sz="0" w:space="0" w:color="auto"/>
        <w:right w:val="none" w:sz="0" w:space="0" w:color="auto"/>
      </w:divBdr>
    </w:div>
    <w:div w:id="744298546">
      <w:bodyDiv w:val="1"/>
      <w:marLeft w:val="0"/>
      <w:marRight w:val="0"/>
      <w:marTop w:val="0"/>
      <w:marBottom w:val="0"/>
      <w:divBdr>
        <w:top w:val="none" w:sz="0" w:space="0" w:color="auto"/>
        <w:left w:val="none" w:sz="0" w:space="0" w:color="auto"/>
        <w:bottom w:val="none" w:sz="0" w:space="0" w:color="auto"/>
        <w:right w:val="none" w:sz="0" w:space="0" w:color="auto"/>
      </w:divBdr>
    </w:div>
    <w:div w:id="822546349">
      <w:bodyDiv w:val="1"/>
      <w:marLeft w:val="0"/>
      <w:marRight w:val="0"/>
      <w:marTop w:val="0"/>
      <w:marBottom w:val="0"/>
      <w:divBdr>
        <w:top w:val="none" w:sz="0" w:space="0" w:color="auto"/>
        <w:left w:val="none" w:sz="0" w:space="0" w:color="auto"/>
        <w:bottom w:val="none" w:sz="0" w:space="0" w:color="auto"/>
        <w:right w:val="none" w:sz="0" w:space="0" w:color="auto"/>
      </w:divBdr>
    </w:div>
    <w:div w:id="1024290200">
      <w:bodyDiv w:val="1"/>
      <w:marLeft w:val="0"/>
      <w:marRight w:val="0"/>
      <w:marTop w:val="0"/>
      <w:marBottom w:val="0"/>
      <w:divBdr>
        <w:top w:val="none" w:sz="0" w:space="0" w:color="auto"/>
        <w:left w:val="none" w:sz="0" w:space="0" w:color="auto"/>
        <w:bottom w:val="none" w:sz="0" w:space="0" w:color="auto"/>
        <w:right w:val="none" w:sz="0" w:space="0" w:color="auto"/>
      </w:divBdr>
    </w:div>
    <w:div w:id="1287196679">
      <w:bodyDiv w:val="1"/>
      <w:marLeft w:val="0"/>
      <w:marRight w:val="0"/>
      <w:marTop w:val="0"/>
      <w:marBottom w:val="0"/>
      <w:divBdr>
        <w:top w:val="none" w:sz="0" w:space="0" w:color="auto"/>
        <w:left w:val="none" w:sz="0" w:space="0" w:color="auto"/>
        <w:bottom w:val="none" w:sz="0" w:space="0" w:color="auto"/>
        <w:right w:val="none" w:sz="0" w:space="0" w:color="auto"/>
      </w:divBdr>
    </w:div>
    <w:div w:id="1562253313">
      <w:bodyDiv w:val="1"/>
      <w:marLeft w:val="0"/>
      <w:marRight w:val="0"/>
      <w:marTop w:val="0"/>
      <w:marBottom w:val="0"/>
      <w:divBdr>
        <w:top w:val="none" w:sz="0" w:space="0" w:color="auto"/>
        <w:left w:val="none" w:sz="0" w:space="0" w:color="auto"/>
        <w:bottom w:val="none" w:sz="0" w:space="0" w:color="auto"/>
        <w:right w:val="none" w:sz="0" w:space="0" w:color="auto"/>
      </w:divBdr>
    </w:div>
    <w:div w:id="1661695049">
      <w:bodyDiv w:val="1"/>
      <w:marLeft w:val="0"/>
      <w:marRight w:val="0"/>
      <w:marTop w:val="0"/>
      <w:marBottom w:val="0"/>
      <w:divBdr>
        <w:top w:val="none" w:sz="0" w:space="0" w:color="auto"/>
        <w:left w:val="none" w:sz="0" w:space="0" w:color="auto"/>
        <w:bottom w:val="none" w:sz="0" w:space="0" w:color="auto"/>
        <w:right w:val="none" w:sz="0" w:space="0" w:color="auto"/>
      </w:divBdr>
    </w:div>
    <w:div w:id="1672834737">
      <w:bodyDiv w:val="1"/>
      <w:marLeft w:val="0"/>
      <w:marRight w:val="0"/>
      <w:marTop w:val="0"/>
      <w:marBottom w:val="0"/>
      <w:divBdr>
        <w:top w:val="none" w:sz="0" w:space="0" w:color="auto"/>
        <w:left w:val="none" w:sz="0" w:space="0" w:color="auto"/>
        <w:bottom w:val="none" w:sz="0" w:space="0" w:color="auto"/>
        <w:right w:val="none" w:sz="0" w:space="0" w:color="auto"/>
      </w:divBdr>
    </w:div>
    <w:div w:id="1683585295">
      <w:bodyDiv w:val="1"/>
      <w:marLeft w:val="0"/>
      <w:marRight w:val="0"/>
      <w:marTop w:val="0"/>
      <w:marBottom w:val="0"/>
      <w:divBdr>
        <w:top w:val="none" w:sz="0" w:space="0" w:color="auto"/>
        <w:left w:val="none" w:sz="0" w:space="0" w:color="auto"/>
        <w:bottom w:val="none" w:sz="0" w:space="0" w:color="auto"/>
        <w:right w:val="none" w:sz="0" w:space="0" w:color="auto"/>
      </w:divBdr>
    </w:div>
    <w:div w:id="1757481428">
      <w:bodyDiv w:val="1"/>
      <w:marLeft w:val="0"/>
      <w:marRight w:val="0"/>
      <w:marTop w:val="0"/>
      <w:marBottom w:val="0"/>
      <w:divBdr>
        <w:top w:val="none" w:sz="0" w:space="0" w:color="auto"/>
        <w:left w:val="none" w:sz="0" w:space="0" w:color="auto"/>
        <w:bottom w:val="none" w:sz="0" w:space="0" w:color="auto"/>
        <w:right w:val="none" w:sz="0" w:space="0" w:color="auto"/>
      </w:divBdr>
    </w:div>
    <w:div w:id="1768768216">
      <w:bodyDiv w:val="1"/>
      <w:marLeft w:val="0"/>
      <w:marRight w:val="0"/>
      <w:marTop w:val="0"/>
      <w:marBottom w:val="0"/>
      <w:divBdr>
        <w:top w:val="none" w:sz="0" w:space="0" w:color="auto"/>
        <w:left w:val="none" w:sz="0" w:space="0" w:color="auto"/>
        <w:bottom w:val="none" w:sz="0" w:space="0" w:color="auto"/>
        <w:right w:val="none" w:sz="0" w:space="0" w:color="auto"/>
      </w:divBdr>
    </w:div>
    <w:div w:id="1853564269">
      <w:bodyDiv w:val="1"/>
      <w:marLeft w:val="0"/>
      <w:marRight w:val="0"/>
      <w:marTop w:val="0"/>
      <w:marBottom w:val="0"/>
      <w:divBdr>
        <w:top w:val="none" w:sz="0" w:space="0" w:color="auto"/>
        <w:left w:val="none" w:sz="0" w:space="0" w:color="auto"/>
        <w:bottom w:val="none" w:sz="0" w:space="0" w:color="auto"/>
        <w:right w:val="none" w:sz="0" w:space="0" w:color="auto"/>
      </w:divBdr>
    </w:div>
    <w:div w:id="204894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hipape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ha1K8UnNm/k3Qy+jvKjIhopmTw==">AMUW2mUYErjD9bS7TjLEFUcL57LWJVzoLlNpMfPsCKvI0YOgMK4eifZfszcCSrN2xt8bB75qEdSiI9Jl0Ky6AneKgYE0YlbzbT6sgfWm/NKKv5orhKhCQf4=</go:docsCustomData>
</go:gDocsCustomXmlDataStorage>
</file>

<file path=customXml/itemProps1.xml><?xml version="1.0" encoding="utf-8"?>
<ds:datastoreItem xmlns:ds="http://schemas.openxmlformats.org/officeDocument/2006/customXml" ds:itemID="{55812B3C-CFA1-4A86-B5A4-03B47DFE058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1666</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de Souza Barbosa</dc:creator>
  <cp:lastModifiedBy>Ana Claudia Ramos Pinto</cp:lastModifiedBy>
  <cp:revision>11</cp:revision>
  <cp:lastPrinted>2022-07-15T18:50:00Z</cp:lastPrinted>
  <dcterms:created xsi:type="dcterms:W3CDTF">2022-07-12T17:03:00Z</dcterms:created>
  <dcterms:modified xsi:type="dcterms:W3CDTF">2022-07-15T18:50:00Z</dcterms:modified>
</cp:coreProperties>
</file>