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c"/>
        <w:tblW w:w="9637" w:type="dxa"/>
        <w:tblInd w:w="0" w:type="dxa"/>
        <w:tblLayout w:type="fixed"/>
        <w:tblLook w:val="0000" w:firstRow="0" w:lastRow="0" w:firstColumn="0" w:lastColumn="0" w:noHBand="0" w:noVBand="0"/>
      </w:tblPr>
      <w:tblGrid>
        <w:gridCol w:w="9637"/>
      </w:tblGrid>
      <w:tr w:rsidR="00CE6985" w:rsidRPr="003C4021" w14:paraId="7E117AFB" w14:textId="77777777">
        <w:tc>
          <w:tcPr>
            <w:tcW w:w="9637" w:type="dxa"/>
            <w:shd w:val="clear" w:color="auto" w:fill="000000"/>
          </w:tcPr>
          <w:p w14:paraId="7E117AF9" w14:textId="6C305E0F" w:rsidR="00CE6985" w:rsidRDefault="00CA143A">
            <w:pPr>
              <w:spacing w:after="0" w:line="240" w:lineRule="auto"/>
              <w:jc w:val="center"/>
              <w:rPr>
                <w:rFonts w:ascii="Times New Roman" w:eastAsia="Times New Roman" w:hAnsi="Times New Roman" w:cs="Times New Roman"/>
                <w:b/>
                <w:sz w:val="24"/>
                <w:szCs w:val="24"/>
              </w:rPr>
            </w:pPr>
            <w:r w:rsidRPr="003C4021">
              <w:rPr>
                <w:rFonts w:ascii="Times New Roman" w:eastAsia="Times New Roman" w:hAnsi="Times New Roman" w:cs="Times New Roman"/>
                <w:b/>
                <w:sz w:val="24"/>
                <w:szCs w:val="24"/>
              </w:rPr>
              <w:t xml:space="preserve">ATA DE REGISTRO DE PREÇOS Nº </w:t>
            </w:r>
            <w:r w:rsidR="00422431">
              <w:rPr>
                <w:rFonts w:ascii="Times New Roman" w:eastAsia="Times New Roman" w:hAnsi="Times New Roman" w:cs="Times New Roman"/>
                <w:b/>
                <w:sz w:val="24"/>
                <w:szCs w:val="24"/>
              </w:rPr>
              <w:t>5</w:t>
            </w:r>
            <w:r w:rsidRPr="003C4021">
              <w:rPr>
                <w:rFonts w:ascii="Times New Roman" w:eastAsia="Times New Roman" w:hAnsi="Times New Roman" w:cs="Times New Roman"/>
                <w:b/>
                <w:sz w:val="24"/>
                <w:szCs w:val="24"/>
              </w:rPr>
              <w:t>/202</w:t>
            </w:r>
            <w:r w:rsidR="00240C39" w:rsidRPr="003C4021">
              <w:rPr>
                <w:rFonts w:ascii="Times New Roman" w:eastAsia="Times New Roman" w:hAnsi="Times New Roman" w:cs="Times New Roman"/>
                <w:b/>
                <w:sz w:val="24"/>
                <w:szCs w:val="24"/>
              </w:rPr>
              <w:t>2</w:t>
            </w:r>
          </w:p>
          <w:p w14:paraId="7BCE5065" w14:textId="77777777" w:rsidR="00471D79" w:rsidRDefault="00471D79" w:rsidP="00471D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PREGÃO Nº 8/2022</w:t>
            </w:r>
          </w:p>
          <w:p w14:paraId="7E117AFA" w14:textId="34EF31C5" w:rsidR="00CE6985" w:rsidRPr="003C4021" w:rsidRDefault="00CA143A">
            <w:pPr>
              <w:spacing w:after="0" w:line="240" w:lineRule="auto"/>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Processo nº </w:t>
            </w:r>
            <w:r w:rsidR="004E16C6" w:rsidRPr="003C4021">
              <w:rPr>
                <w:rFonts w:ascii="Times New Roman" w:eastAsia="Times New Roman" w:hAnsi="Times New Roman" w:cs="Times New Roman"/>
                <w:sz w:val="24"/>
                <w:szCs w:val="24"/>
              </w:rPr>
              <w:t>20</w:t>
            </w:r>
            <w:r w:rsidR="00471D79">
              <w:rPr>
                <w:rFonts w:ascii="Times New Roman" w:eastAsia="Times New Roman" w:hAnsi="Times New Roman" w:cs="Times New Roman"/>
                <w:sz w:val="24"/>
                <w:szCs w:val="24"/>
              </w:rPr>
              <w:t>.</w:t>
            </w:r>
            <w:r w:rsidR="004E16C6" w:rsidRPr="003C4021">
              <w:rPr>
                <w:rFonts w:ascii="Times New Roman" w:eastAsia="Times New Roman" w:hAnsi="Times New Roman" w:cs="Times New Roman"/>
                <w:sz w:val="24"/>
                <w:szCs w:val="24"/>
              </w:rPr>
              <w:t>197/2022</w:t>
            </w:r>
          </w:p>
        </w:tc>
      </w:tr>
    </w:tbl>
    <w:p w14:paraId="7E117AFC"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FD" w14:textId="53E13FEF" w:rsidR="00CE6985" w:rsidRPr="003C4021" w:rsidRDefault="00CA143A" w:rsidP="00027819">
      <w:pPr>
        <w:widowControl w:val="0"/>
        <w:pBdr>
          <w:top w:val="nil"/>
          <w:left w:val="nil"/>
          <w:bottom w:val="nil"/>
          <w:right w:val="nil"/>
          <w:between w:val="nil"/>
        </w:pBdr>
        <w:spacing w:after="0" w:line="240" w:lineRule="auto"/>
        <w:ind w:left="1417" w:right="-2" w:hanging="1417"/>
        <w:jc w:val="both"/>
        <w:rPr>
          <w:color w:val="000000"/>
        </w:rPr>
      </w:pPr>
      <w:r w:rsidRPr="003C4021">
        <w:rPr>
          <w:rFonts w:ascii="Times New Roman" w:eastAsia="Times New Roman" w:hAnsi="Times New Roman" w:cs="Times New Roman"/>
          <w:bCs/>
          <w:color w:val="000000"/>
          <w:sz w:val="24"/>
          <w:szCs w:val="24"/>
        </w:rPr>
        <w:t>Contratante:</w:t>
      </w:r>
      <w:r w:rsidRPr="003C4021">
        <w:rPr>
          <w:rFonts w:ascii="Times New Roman" w:eastAsia="Times New Roman" w:hAnsi="Times New Roman" w:cs="Times New Roman"/>
          <w:b/>
          <w:color w:val="000000"/>
          <w:sz w:val="24"/>
          <w:szCs w:val="24"/>
        </w:rPr>
        <w:t xml:space="preserve"> </w:t>
      </w:r>
      <w:r w:rsidR="00C15515" w:rsidRPr="00C15515">
        <w:rPr>
          <w:rFonts w:ascii="Times New Roman" w:eastAsia="Times New Roman" w:hAnsi="Times New Roman" w:cs="Times New Roman"/>
          <w:b/>
          <w:color w:val="000000"/>
          <w:sz w:val="24"/>
          <w:szCs w:val="24"/>
        </w:rPr>
        <w:t>Conselho Federal de Economia - Cofecon</w:t>
      </w:r>
      <w:r w:rsidR="00C15515" w:rsidRPr="00C15515">
        <w:rPr>
          <w:rFonts w:ascii="Times New Roman" w:eastAsia="Times New Roman" w:hAnsi="Times New Roman" w:cs="Times New Roman"/>
          <w:bCs/>
          <w:color w:val="000000"/>
          <w:sz w:val="24"/>
          <w:szCs w:val="24"/>
        </w:rPr>
        <w:t xml:space="preserve">, 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 brasileiro, casado, economista, portador da carteira de identidade profissional nº 16821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00C15515" w:rsidRPr="00C15515">
        <w:rPr>
          <w:rFonts w:ascii="Times New Roman" w:eastAsia="Times New Roman" w:hAnsi="Times New Roman" w:cs="Times New Roman"/>
          <w:b/>
          <w:color w:val="000000"/>
          <w:sz w:val="24"/>
          <w:szCs w:val="24"/>
        </w:rPr>
        <w:t>Contratante</w:t>
      </w:r>
      <w:r w:rsidR="00C15515" w:rsidRPr="00C15515">
        <w:rPr>
          <w:rFonts w:ascii="Times New Roman" w:eastAsia="Times New Roman" w:hAnsi="Times New Roman" w:cs="Times New Roman"/>
          <w:bCs/>
          <w:color w:val="000000"/>
          <w:sz w:val="24"/>
          <w:szCs w:val="24"/>
        </w:rPr>
        <w:t>.</w:t>
      </w:r>
    </w:p>
    <w:p w14:paraId="7E117AFE" w14:textId="77777777" w:rsidR="00CE6985" w:rsidRPr="00AF3A5D" w:rsidRDefault="00CE6985" w:rsidP="00777A44">
      <w:pPr>
        <w:widowControl w:val="0"/>
        <w:pBdr>
          <w:top w:val="nil"/>
          <w:left w:val="nil"/>
          <w:bottom w:val="nil"/>
          <w:right w:val="nil"/>
          <w:between w:val="nil"/>
        </w:pBdr>
        <w:spacing w:after="0" w:line="240" w:lineRule="auto"/>
        <w:ind w:left="1701" w:hanging="1701"/>
        <w:jc w:val="both"/>
        <w:rPr>
          <w:rFonts w:ascii="Times New Roman" w:eastAsia="Times New Roman" w:hAnsi="Times New Roman" w:cs="Times New Roman"/>
          <w:sz w:val="24"/>
          <w:szCs w:val="24"/>
        </w:rPr>
      </w:pPr>
    </w:p>
    <w:p w14:paraId="7E117AFF" w14:textId="28362E23" w:rsidR="00CE6985" w:rsidRPr="00471D79" w:rsidRDefault="00CA143A" w:rsidP="00777A44">
      <w:pPr>
        <w:widowControl w:val="0"/>
        <w:pBdr>
          <w:top w:val="nil"/>
          <w:left w:val="nil"/>
          <w:bottom w:val="nil"/>
          <w:right w:val="nil"/>
          <w:between w:val="nil"/>
        </w:pBdr>
        <w:spacing w:after="0" w:line="240" w:lineRule="auto"/>
        <w:ind w:left="1276" w:hanging="1276"/>
        <w:jc w:val="both"/>
        <w:rPr>
          <w:rFonts w:ascii="Times New Roman" w:eastAsia="Times New Roman" w:hAnsi="Times New Roman" w:cs="Times New Roman"/>
          <w:sz w:val="24"/>
          <w:szCs w:val="24"/>
          <w:lang w:val="pt-BR"/>
        </w:rPr>
      </w:pPr>
      <w:r w:rsidRPr="00777A44">
        <w:rPr>
          <w:rFonts w:ascii="Times New Roman" w:eastAsia="Times New Roman" w:hAnsi="Times New Roman" w:cs="Times New Roman"/>
          <w:bCs/>
          <w:sz w:val="24"/>
          <w:szCs w:val="24"/>
        </w:rPr>
        <w:t>Contratada:</w:t>
      </w:r>
      <w:r w:rsidRPr="00777A44">
        <w:rPr>
          <w:rFonts w:ascii="Times New Roman" w:eastAsia="Times New Roman" w:hAnsi="Times New Roman" w:cs="Times New Roman"/>
          <w:sz w:val="24"/>
          <w:szCs w:val="24"/>
        </w:rPr>
        <w:t xml:space="preserve"> </w:t>
      </w:r>
      <w:r w:rsidR="00777A44" w:rsidRPr="00777A44">
        <w:rPr>
          <w:rFonts w:ascii="Times New Roman" w:eastAsia="Times New Roman" w:hAnsi="Times New Roman" w:cs="Times New Roman"/>
          <w:b/>
          <w:sz w:val="24"/>
          <w:szCs w:val="24"/>
        </w:rPr>
        <w:t>José Luiz Pinheiro de Azevedo - ME</w:t>
      </w:r>
      <w:r w:rsidRPr="00777A44">
        <w:rPr>
          <w:rFonts w:ascii="Times New Roman" w:eastAsia="Times New Roman" w:hAnsi="Times New Roman" w:cs="Times New Roman"/>
          <w:sz w:val="24"/>
          <w:szCs w:val="24"/>
        </w:rPr>
        <w:t>, com sede</w:t>
      </w:r>
      <w:r w:rsidR="00A5398B" w:rsidRPr="00777A44">
        <w:rPr>
          <w:rFonts w:ascii="Times New Roman" w:eastAsia="Times New Roman" w:hAnsi="Times New Roman" w:cs="Times New Roman"/>
          <w:sz w:val="24"/>
          <w:szCs w:val="24"/>
        </w:rPr>
        <w:t xml:space="preserve"> em</w:t>
      </w:r>
      <w:r w:rsidR="00224B70" w:rsidRPr="00777A44">
        <w:rPr>
          <w:rFonts w:ascii="Times New Roman" w:eastAsia="Times New Roman" w:hAnsi="Times New Roman" w:cs="Times New Roman"/>
          <w:sz w:val="24"/>
          <w:szCs w:val="24"/>
        </w:rPr>
        <w:t xml:space="preserve"> </w:t>
      </w:r>
      <w:r w:rsidR="00777A44" w:rsidRPr="00777A44">
        <w:rPr>
          <w:rFonts w:ascii="Times New Roman" w:eastAsia="Times New Roman" w:hAnsi="Times New Roman" w:cs="Times New Roman"/>
          <w:sz w:val="24"/>
          <w:szCs w:val="24"/>
        </w:rPr>
        <w:t>Sep/Norte Quadra 513, Lote 2 e 3, Térreo, Parte 1 – Cep: 70760-522,</w:t>
      </w:r>
      <w:r w:rsidR="00224B70" w:rsidRPr="00777A44">
        <w:rPr>
          <w:rFonts w:ascii="Times New Roman" w:eastAsia="Times New Roman" w:hAnsi="Times New Roman" w:cs="Times New Roman"/>
          <w:sz w:val="24"/>
          <w:szCs w:val="24"/>
        </w:rPr>
        <w:t xml:space="preserve"> Brasília - DF</w:t>
      </w:r>
      <w:r w:rsidRPr="00777A44">
        <w:rPr>
          <w:rFonts w:ascii="Times New Roman" w:eastAsia="Times New Roman" w:hAnsi="Times New Roman" w:cs="Times New Roman"/>
          <w:sz w:val="24"/>
          <w:szCs w:val="24"/>
        </w:rPr>
        <w:t xml:space="preserve">, E-mail: </w:t>
      </w:r>
      <w:hyperlink r:id="rId6" w:history="1">
        <w:r w:rsidR="00EC3AE2" w:rsidRPr="00BF270E">
          <w:rPr>
            <w:rStyle w:val="Hyperlink"/>
            <w:rFonts w:ascii="Times New Roman" w:eastAsia="Times New Roman" w:hAnsi="Times New Roman" w:cs="Times New Roman"/>
            <w:sz w:val="24"/>
            <w:szCs w:val="24"/>
          </w:rPr>
          <w:t>contatosjleventos@gmail.com</w:t>
        </w:r>
      </w:hyperlink>
      <w:r w:rsidR="00EC3AE2">
        <w:rPr>
          <w:rFonts w:ascii="Times New Roman" w:eastAsia="Times New Roman" w:hAnsi="Times New Roman" w:cs="Times New Roman"/>
          <w:sz w:val="24"/>
          <w:szCs w:val="24"/>
        </w:rPr>
        <w:t xml:space="preserve"> </w:t>
      </w:r>
      <w:r w:rsidR="00777A44" w:rsidRPr="00777A44">
        <w:rPr>
          <w:rFonts w:ascii="Times New Roman" w:eastAsia="Times New Roman" w:hAnsi="Times New Roman" w:cs="Times New Roman"/>
          <w:sz w:val="24"/>
          <w:szCs w:val="24"/>
        </w:rPr>
        <w:t>;</w:t>
      </w:r>
      <w:r w:rsidRPr="00777A44">
        <w:rPr>
          <w:rFonts w:ascii="Times New Roman" w:eastAsia="Times New Roman" w:hAnsi="Times New Roman" w:cs="Times New Roman"/>
          <w:sz w:val="24"/>
          <w:szCs w:val="24"/>
        </w:rPr>
        <w:t xml:space="preserve"> Telefone: (</w:t>
      </w:r>
      <w:r w:rsidR="00224B70" w:rsidRPr="00777A44">
        <w:rPr>
          <w:rFonts w:ascii="Times New Roman" w:eastAsia="Times New Roman" w:hAnsi="Times New Roman" w:cs="Times New Roman"/>
          <w:sz w:val="24"/>
          <w:szCs w:val="24"/>
        </w:rPr>
        <w:t xml:space="preserve">61) </w:t>
      </w:r>
      <w:r w:rsidR="00777A44" w:rsidRPr="00777A44">
        <w:rPr>
          <w:rFonts w:ascii="Arial" w:hAnsi="Arial" w:cs="Arial"/>
          <w:sz w:val="20"/>
          <w:szCs w:val="20"/>
          <w:lang w:val="pt-BR"/>
        </w:rPr>
        <w:t>3225-1264</w:t>
      </w:r>
      <w:r w:rsidRPr="00777A44">
        <w:rPr>
          <w:rFonts w:ascii="Times New Roman" w:eastAsia="Times New Roman" w:hAnsi="Times New Roman" w:cs="Times New Roman"/>
          <w:sz w:val="24"/>
          <w:szCs w:val="24"/>
        </w:rPr>
        <w:t>, inscrita no CNPJ/MF sob nº</w:t>
      </w:r>
      <w:r w:rsidR="00224B70" w:rsidRPr="00777A44">
        <w:rPr>
          <w:rFonts w:ascii="Times New Roman" w:eastAsia="Times New Roman" w:hAnsi="Times New Roman" w:cs="Times New Roman"/>
          <w:sz w:val="24"/>
          <w:szCs w:val="24"/>
        </w:rPr>
        <w:t xml:space="preserve"> </w:t>
      </w:r>
      <w:r w:rsidR="00777A44" w:rsidRPr="00777A44">
        <w:rPr>
          <w:rFonts w:ascii="Arial" w:hAnsi="Arial" w:cs="Arial"/>
          <w:sz w:val="20"/>
          <w:szCs w:val="20"/>
          <w:lang w:val="pt-BR"/>
        </w:rPr>
        <w:t>14.925.328/0001-23</w:t>
      </w:r>
      <w:r w:rsidRPr="00777A44">
        <w:rPr>
          <w:rFonts w:ascii="Times New Roman" w:eastAsia="Times New Roman" w:hAnsi="Times New Roman" w:cs="Times New Roman"/>
          <w:sz w:val="24"/>
          <w:szCs w:val="24"/>
        </w:rPr>
        <w:t>, neste ato representado por</w:t>
      </w:r>
      <w:r w:rsidR="00A5398B" w:rsidRPr="00777A44">
        <w:rPr>
          <w:rFonts w:ascii="Times New Roman" w:eastAsia="Times New Roman" w:hAnsi="Times New Roman" w:cs="Times New Roman"/>
          <w:sz w:val="24"/>
          <w:szCs w:val="24"/>
        </w:rPr>
        <w:t xml:space="preserve"> </w:t>
      </w:r>
      <w:r w:rsidR="00777A44" w:rsidRPr="00777A44">
        <w:rPr>
          <w:rFonts w:ascii="Times New Roman" w:eastAsia="Times New Roman" w:hAnsi="Times New Roman" w:cs="Times New Roman"/>
          <w:sz w:val="24"/>
          <w:szCs w:val="24"/>
        </w:rPr>
        <w:t>José Luiz Pinheiro de Azevedo</w:t>
      </w:r>
      <w:r w:rsidRPr="00777A44">
        <w:rPr>
          <w:rFonts w:ascii="Times New Roman" w:eastAsia="Times New Roman" w:hAnsi="Times New Roman" w:cs="Times New Roman"/>
          <w:sz w:val="24"/>
          <w:szCs w:val="24"/>
        </w:rPr>
        <w:t>, inscrit</w:t>
      </w:r>
      <w:r w:rsidR="00A5398B" w:rsidRPr="00777A44">
        <w:rPr>
          <w:rFonts w:ascii="Times New Roman" w:eastAsia="Times New Roman" w:hAnsi="Times New Roman" w:cs="Times New Roman"/>
          <w:sz w:val="24"/>
          <w:szCs w:val="24"/>
        </w:rPr>
        <w:t>o</w:t>
      </w:r>
      <w:r w:rsidRPr="00777A44">
        <w:rPr>
          <w:rFonts w:ascii="Times New Roman" w:eastAsia="Times New Roman" w:hAnsi="Times New Roman" w:cs="Times New Roman"/>
          <w:sz w:val="24"/>
          <w:szCs w:val="24"/>
        </w:rPr>
        <w:t xml:space="preserve"> no CPF sob o nº </w:t>
      </w:r>
      <w:r w:rsidR="00777A44" w:rsidRPr="00777A44">
        <w:rPr>
          <w:rFonts w:ascii="Arial" w:hAnsi="Arial" w:cs="Arial"/>
          <w:sz w:val="20"/>
          <w:szCs w:val="20"/>
          <w:lang w:val="pt-BR"/>
        </w:rPr>
        <w:t>944.619.376-15</w:t>
      </w:r>
      <w:r w:rsidRPr="00777A44">
        <w:rPr>
          <w:rFonts w:ascii="Times New Roman" w:eastAsia="Times New Roman" w:hAnsi="Times New Roman" w:cs="Times New Roman"/>
          <w:sz w:val="24"/>
          <w:szCs w:val="24"/>
        </w:rPr>
        <w:t xml:space="preserve">, doravante denominada parte </w:t>
      </w:r>
      <w:r w:rsidR="00582BC1" w:rsidRPr="00471D79">
        <w:rPr>
          <w:rFonts w:ascii="Times New Roman" w:eastAsia="Times New Roman" w:hAnsi="Times New Roman" w:cs="Times New Roman"/>
          <w:b/>
          <w:bCs/>
          <w:sz w:val="24"/>
          <w:szCs w:val="24"/>
        </w:rPr>
        <w:t>Contratada</w:t>
      </w:r>
      <w:r w:rsidRPr="00471D79">
        <w:rPr>
          <w:rFonts w:ascii="Times New Roman" w:eastAsia="Times New Roman" w:hAnsi="Times New Roman" w:cs="Times New Roman"/>
          <w:sz w:val="24"/>
          <w:szCs w:val="24"/>
        </w:rPr>
        <w:t>.</w:t>
      </w:r>
    </w:p>
    <w:p w14:paraId="7E117B00"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B01" w14:textId="7E8A35BB" w:rsidR="00CE6985" w:rsidRPr="003C4021" w:rsidRDefault="00CA143A" w:rsidP="008F4CA5">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CONSIDERANDO o julgamento da licitação na modalidade de pregão, na forma eletrônica, para REGISTRO DE PREÇOS nº </w:t>
      </w:r>
      <w:r w:rsidR="00A867BD" w:rsidRPr="003C4021">
        <w:rPr>
          <w:rFonts w:ascii="Times New Roman" w:eastAsia="Times New Roman" w:hAnsi="Times New Roman" w:cs="Times New Roman"/>
          <w:sz w:val="24"/>
          <w:szCs w:val="24"/>
        </w:rPr>
        <w:t>8</w:t>
      </w:r>
      <w:r w:rsidRPr="003C4021">
        <w:rPr>
          <w:rFonts w:ascii="Times New Roman" w:eastAsia="Times New Roman" w:hAnsi="Times New Roman" w:cs="Times New Roman"/>
          <w:sz w:val="24"/>
          <w:szCs w:val="24"/>
        </w:rPr>
        <w:t>/</w:t>
      </w:r>
      <w:r w:rsidR="00240C39" w:rsidRPr="003C4021">
        <w:rPr>
          <w:rFonts w:ascii="Times New Roman" w:eastAsia="Times New Roman" w:hAnsi="Times New Roman" w:cs="Times New Roman"/>
          <w:sz w:val="24"/>
          <w:szCs w:val="24"/>
        </w:rPr>
        <w:t>2022</w:t>
      </w:r>
      <w:r w:rsidR="00A5398B">
        <w:rPr>
          <w:rFonts w:ascii="Times New Roman" w:eastAsia="Times New Roman" w:hAnsi="Times New Roman" w:cs="Times New Roman"/>
          <w:sz w:val="24"/>
          <w:szCs w:val="24"/>
        </w:rPr>
        <w:t xml:space="preserve">, relativo ao </w:t>
      </w:r>
      <w:r w:rsidRPr="003C4021">
        <w:rPr>
          <w:rFonts w:ascii="Times New Roman" w:eastAsia="Times New Roman" w:hAnsi="Times New Roman" w:cs="Times New Roman"/>
          <w:sz w:val="24"/>
          <w:szCs w:val="24"/>
        </w:rPr>
        <w:t xml:space="preserve">Processo nº </w:t>
      </w:r>
      <w:r w:rsidR="004E16C6" w:rsidRPr="003C4021">
        <w:rPr>
          <w:rFonts w:ascii="Times New Roman" w:eastAsia="Times New Roman" w:hAnsi="Times New Roman" w:cs="Times New Roman"/>
          <w:sz w:val="24"/>
          <w:szCs w:val="24"/>
        </w:rPr>
        <w:t>20197/2022</w:t>
      </w:r>
      <w:r w:rsidRPr="003C4021">
        <w:rPr>
          <w:rFonts w:ascii="Times New Roman" w:eastAsia="Times New Roman" w:hAnsi="Times New Roman" w:cs="Times New Roman"/>
          <w:sz w:val="24"/>
          <w:szCs w:val="24"/>
        </w:rPr>
        <w:t>, RESOLVE registrar os preços da empresa indicada e qualificada nesta ATA, de acordo com a classificação por ela alcançada e nas quantidades cotadas, atendendo as condições previstas no edital, sujeitando-se as partes às normas constantes na Lei nº 8.666/1993 e suas alterações, no Decreto nº 7.892/2013, e em conformidade com as disposições a seguir:</w:t>
      </w:r>
    </w:p>
    <w:p w14:paraId="7E117B02" w14:textId="77777777" w:rsidR="00CE6985" w:rsidRPr="003C4021" w:rsidRDefault="00CE6985">
      <w:pPr>
        <w:tabs>
          <w:tab w:val="center" w:pos="4779"/>
          <w:tab w:val="right" w:pos="9198"/>
        </w:tabs>
        <w:spacing w:after="0" w:line="240" w:lineRule="auto"/>
        <w:ind w:right="-569"/>
        <w:jc w:val="both"/>
        <w:rPr>
          <w:rFonts w:ascii="Times New Roman" w:eastAsia="Times New Roman" w:hAnsi="Times New Roman" w:cs="Times New Roman"/>
          <w:sz w:val="24"/>
          <w:szCs w:val="24"/>
        </w:rPr>
      </w:pPr>
    </w:p>
    <w:tbl>
      <w:tblPr>
        <w:tblStyle w:val="affd"/>
        <w:tblW w:w="9637" w:type="dxa"/>
        <w:tblInd w:w="0" w:type="dxa"/>
        <w:tblLayout w:type="fixed"/>
        <w:tblLook w:val="0000" w:firstRow="0" w:lastRow="0" w:firstColumn="0" w:lastColumn="0" w:noHBand="0" w:noVBand="0"/>
      </w:tblPr>
      <w:tblGrid>
        <w:gridCol w:w="9637"/>
      </w:tblGrid>
      <w:tr w:rsidR="00CE6985" w:rsidRPr="003C4021" w14:paraId="7E117B04" w14:textId="77777777">
        <w:tc>
          <w:tcPr>
            <w:tcW w:w="9637" w:type="dxa"/>
            <w:shd w:val="clear" w:color="auto" w:fill="auto"/>
          </w:tcPr>
          <w:p w14:paraId="7E117B03"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 Do Objeto</w:t>
            </w:r>
          </w:p>
        </w:tc>
      </w:tr>
    </w:tbl>
    <w:p w14:paraId="7E117B05" w14:textId="77777777" w:rsidR="00CE6985" w:rsidRPr="003C4021" w:rsidRDefault="00CE6985">
      <w:pPr>
        <w:tabs>
          <w:tab w:val="center" w:pos="4779"/>
          <w:tab w:val="right" w:pos="9198"/>
        </w:tabs>
        <w:spacing w:after="0" w:line="240" w:lineRule="auto"/>
        <w:jc w:val="both"/>
        <w:rPr>
          <w:rFonts w:ascii="Times New Roman" w:eastAsia="Times New Roman" w:hAnsi="Times New Roman" w:cs="Times New Roman"/>
          <w:color w:val="000000"/>
          <w:sz w:val="24"/>
          <w:szCs w:val="24"/>
        </w:rPr>
      </w:pPr>
    </w:p>
    <w:p w14:paraId="7E117B06" w14:textId="1A816281" w:rsidR="00CE6985" w:rsidRPr="003C4021" w:rsidRDefault="00CA143A" w:rsidP="008F4CA5">
      <w:pPr>
        <w:spacing w:after="0" w:line="240" w:lineRule="auto"/>
        <w:ind w:right="-2"/>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1.1. A presente Ata tem por objeto o registro de preços para a eventual aquisição/contratação de serviços, especificados nos itens do Termo de Referência, Anexo I do Edital de Pregão nº </w:t>
      </w:r>
      <w:r w:rsidR="00A867BD" w:rsidRPr="003C4021">
        <w:rPr>
          <w:rFonts w:ascii="Times New Roman" w:eastAsia="Times New Roman" w:hAnsi="Times New Roman" w:cs="Times New Roman"/>
          <w:color w:val="000000"/>
          <w:sz w:val="24"/>
          <w:szCs w:val="24"/>
        </w:rPr>
        <w:t>8</w:t>
      </w:r>
      <w:r w:rsidR="00833CC5" w:rsidRPr="003C4021">
        <w:rPr>
          <w:rFonts w:ascii="Times New Roman" w:eastAsia="Times New Roman" w:hAnsi="Times New Roman" w:cs="Times New Roman"/>
          <w:sz w:val="24"/>
          <w:szCs w:val="24"/>
        </w:rPr>
        <w:t>/2022</w:t>
      </w:r>
      <w:r w:rsidRPr="003C4021">
        <w:rPr>
          <w:rFonts w:ascii="Times New Roman" w:eastAsia="Times New Roman" w:hAnsi="Times New Roman" w:cs="Times New Roman"/>
          <w:color w:val="000000"/>
          <w:sz w:val="24"/>
          <w:szCs w:val="24"/>
        </w:rPr>
        <w:t>, que é parte integrante desta Ata, assim como a proposta vencedora, independentemente de transcrição.</w:t>
      </w:r>
    </w:p>
    <w:p w14:paraId="7E117B07"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tbl>
      <w:tblPr>
        <w:tblStyle w:val="affe"/>
        <w:tblW w:w="9637" w:type="dxa"/>
        <w:tblInd w:w="0" w:type="dxa"/>
        <w:tblLayout w:type="fixed"/>
        <w:tblLook w:val="0000" w:firstRow="0" w:lastRow="0" w:firstColumn="0" w:lastColumn="0" w:noHBand="0" w:noVBand="0"/>
      </w:tblPr>
      <w:tblGrid>
        <w:gridCol w:w="9637"/>
      </w:tblGrid>
      <w:tr w:rsidR="00CE6985" w:rsidRPr="003C4021" w14:paraId="7E117B09" w14:textId="77777777">
        <w:tc>
          <w:tcPr>
            <w:tcW w:w="9637" w:type="dxa"/>
            <w:shd w:val="clear" w:color="auto" w:fill="auto"/>
          </w:tcPr>
          <w:p w14:paraId="7E117B08"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2. Dos Preços, Especificações e Quantitativos Objeto</w:t>
            </w:r>
          </w:p>
        </w:tc>
      </w:tr>
    </w:tbl>
    <w:p w14:paraId="7E117B0A" w14:textId="77777777" w:rsidR="00CE6985" w:rsidRPr="003C4021" w:rsidRDefault="00CE6985">
      <w:pPr>
        <w:tabs>
          <w:tab w:val="center" w:pos="4779"/>
          <w:tab w:val="right" w:pos="9198"/>
        </w:tabs>
        <w:spacing w:after="0" w:line="240" w:lineRule="auto"/>
        <w:jc w:val="both"/>
        <w:rPr>
          <w:rFonts w:ascii="Times New Roman" w:eastAsia="Times New Roman" w:hAnsi="Times New Roman" w:cs="Times New Roman"/>
          <w:color w:val="000000"/>
          <w:sz w:val="24"/>
          <w:szCs w:val="24"/>
        </w:rPr>
      </w:pPr>
    </w:p>
    <w:p w14:paraId="7E117B0B" w14:textId="77777777" w:rsidR="00CE6985" w:rsidRPr="003C4021" w:rsidRDefault="00CA143A">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2.1. O preço registrado, as especificações do objeto, a quantidade, fornecedores e as demais condições ofertadas nas propostas são as que seguem:</w:t>
      </w:r>
    </w:p>
    <w:p w14:paraId="7E117B0C" w14:textId="3BF8533B" w:rsidR="00CE6985" w:rsidRDefault="00CE6985">
      <w:pPr>
        <w:spacing w:after="0" w:line="240" w:lineRule="auto"/>
        <w:jc w:val="both"/>
        <w:rPr>
          <w:rFonts w:ascii="Times New Roman" w:eastAsia="Times New Roman" w:hAnsi="Times New Roman" w:cs="Times New Roman"/>
          <w:color w:val="000000"/>
          <w:sz w:val="24"/>
          <w:szCs w:val="24"/>
        </w:rPr>
      </w:pPr>
    </w:p>
    <w:p w14:paraId="409DD606" w14:textId="02288AFC" w:rsidR="009E3FFB" w:rsidRDefault="009E3FFB">
      <w:pPr>
        <w:spacing w:after="0" w:line="240" w:lineRule="auto"/>
        <w:jc w:val="both"/>
        <w:rPr>
          <w:rFonts w:ascii="Times New Roman" w:eastAsia="Times New Roman" w:hAnsi="Times New Roman" w:cs="Times New Roman"/>
          <w:color w:val="000000"/>
          <w:sz w:val="24"/>
          <w:szCs w:val="24"/>
        </w:rPr>
      </w:pPr>
    </w:p>
    <w:p w14:paraId="6868A11D" w14:textId="10F9BEE4" w:rsidR="009E3FFB" w:rsidRDefault="009E3FFB">
      <w:pPr>
        <w:spacing w:after="0" w:line="240" w:lineRule="auto"/>
        <w:jc w:val="both"/>
        <w:rPr>
          <w:rFonts w:ascii="Times New Roman" w:eastAsia="Times New Roman" w:hAnsi="Times New Roman" w:cs="Times New Roman"/>
          <w:color w:val="000000"/>
          <w:sz w:val="24"/>
          <w:szCs w:val="24"/>
        </w:rPr>
      </w:pPr>
    </w:p>
    <w:p w14:paraId="581CE3C7" w14:textId="675B36E9" w:rsidR="009E3FFB" w:rsidRDefault="009E3FFB">
      <w:pPr>
        <w:spacing w:after="0" w:line="240" w:lineRule="auto"/>
        <w:jc w:val="both"/>
        <w:rPr>
          <w:rFonts w:ascii="Times New Roman" w:eastAsia="Times New Roman" w:hAnsi="Times New Roman" w:cs="Times New Roman"/>
          <w:color w:val="000000"/>
          <w:sz w:val="24"/>
          <w:szCs w:val="24"/>
        </w:rPr>
      </w:pPr>
    </w:p>
    <w:p w14:paraId="31567EE2" w14:textId="77777777" w:rsidR="009E3FFB" w:rsidRDefault="009E3FFB">
      <w:pPr>
        <w:spacing w:after="0" w:line="240" w:lineRule="auto"/>
        <w:jc w:val="both"/>
        <w:rPr>
          <w:rFonts w:ascii="Times New Roman" w:eastAsia="Times New Roman" w:hAnsi="Times New Roman" w:cs="Times New Roman"/>
          <w:color w:val="000000"/>
          <w:sz w:val="24"/>
          <w:szCs w:val="24"/>
        </w:rPr>
      </w:pPr>
    </w:p>
    <w:p w14:paraId="7E117B0D" w14:textId="379EB8B6" w:rsidR="00CE6985" w:rsidRPr="005D7B03" w:rsidRDefault="00CA143A" w:rsidP="001E2BD6">
      <w:pPr>
        <w:tabs>
          <w:tab w:val="left" w:pos="2085"/>
        </w:tabs>
        <w:spacing w:after="0" w:line="240" w:lineRule="auto"/>
        <w:jc w:val="both"/>
        <w:rPr>
          <w:rFonts w:ascii="Times New Roman" w:eastAsia="Times New Roman" w:hAnsi="Times New Roman" w:cs="Times New Roman"/>
          <w:b/>
          <w:bCs/>
          <w:sz w:val="24"/>
          <w:szCs w:val="24"/>
        </w:rPr>
      </w:pPr>
      <w:r w:rsidRPr="005D7B03">
        <w:rPr>
          <w:rFonts w:ascii="Times New Roman" w:eastAsia="Times New Roman" w:hAnsi="Times New Roman" w:cs="Times New Roman"/>
          <w:b/>
          <w:bCs/>
          <w:color w:val="000000"/>
          <w:sz w:val="24"/>
          <w:szCs w:val="24"/>
        </w:rPr>
        <w:lastRenderedPageBreak/>
        <w:t xml:space="preserve">2.2. Grupo </w:t>
      </w:r>
      <w:r w:rsidR="00422431">
        <w:rPr>
          <w:rFonts w:ascii="Times New Roman" w:eastAsia="Times New Roman" w:hAnsi="Times New Roman" w:cs="Times New Roman"/>
          <w:b/>
          <w:bCs/>
          <w:color w:val="000000"/>
          <w:sz w:val="24"/>
          <w:szCs w:val="24"/>
        </w:rPr>
        <w:t>3</w:t>
      </w:r>
    </w:p>
    <w:tbl>
      <w:tblPr>
        <w:tblW w:w="96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A0" w:firstRow="1" w:lastRow="0" w:firstColumn="1" w:lastColumn="0" w:noHBand="0" w:noVBand="1"/>
      </w:tblPr>
      <w:tblGrid>
        <w:gridCol w:w="742"/>
        <w:gridCol w:w="4425"/>
        <w:gridCol w:w="1800"/>
        <w:gridCol w:w="626"/>
        <w:gridCol w:w="909"/>
        <w:gridCol w:w="1128"/>
      </w:tblGrid>
      <w:tr w:rsidR="00B92FBB" w14:paraId="2F8C7F70" w14:textId="77777777" w:rsidTr="00471D79">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513E657" w14:textId="77777777" w:rsidR="00B92FBB" w:rsidRDefault="00B92FBB">
            <w:pPr>
              <w:spacing w:after="0" w:line="240" w:lineRule="auto"/>
              <w:jc w:val="both"/>
              <w:rPr>
                <w:rFonts w:ascii="Times New Roman" w:eastAsia="Times New Roman" w:hAnsi="Times New Roman" w:cs="Times New Roman"/>
                <w:color w:val="000000"/>
                <w:sz w:val="20"/>
                <w:szCs w:val="20"/>
                <w:lang w:val="pt-PT"/>
              </w:rPr>
            </w:pPr>
            <w:bookmarkStart w:id="0" w:name="_Hlk110345026"/>
            <w:r>
              <w:rPr>
                <w:rFonts w:ascii="Times New Roman" w:eastAsia="Times New Roman" w:hAnsi="Times New Roman" w:cs="Times New Roman"/>
                <w:color w:val="000000"/>
                <w:sz w:val="20"/>
                <w:szCs w:val="20"/>
                <w:lang w:val="pt-PT"/>
              </w:rPr>
              <w:t>Item</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7788B12" w14:textId="77777777" w:rsidR="00B92FBB" w:rsidRDefault="00B92FBB">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Descrição/Especificação</w:t>
            </w:r>
          </w:p>
        </w:tc>
        <w:tc>
          <w:tcPr>
            <w:tcW w:w="18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67C07DA" w14:textId="77777777" w:rsidR="00B92FBB" w:rsidRDefault="00B92FBB">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F463FFE" w14:textId="77777777" w:rsidR="00B92FBB" w:rsidRDefault="00B92FBB">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Total</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511A840" w14:textId="77777777" w:rsidR="00B92FBB" w:rsidRDefault="00B92FBB">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Valor Unitário</w:t>
            </w:r>
          </w:p>
        </w:tc>
        <w:tc>
          <w:tcPr>
            <w:tcW w:w="112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17062D5" w14:textId="77777777" w:rsidR="00B92FBB" w:rsidRDefault="00B92FBB">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Valor Total</w:t>
            </w:r>
          </w:p>
        </w:tc>
      </w:tr>
      <w:tr w:rsidR="00B92FBB" w14:paraId="2A6584D4" w14:textId="77777777" w:rsidTr="00471D79">
        <w:trPr>
          <w:trHeight w:val="1"/>
        </w:trPr>
        <w:tc>
          <w:tcPr>
            <w:tcW w:w="963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C01C168" w14:textId="77777777" w:rsidR="00B92FBB" w:rsidRDefault="00B92FBB">
            <w:pPr>
              <w:spacing w:after="0" w:line="240" w:lineRule="auto"/>
              <w:jc w:val="center"/>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Serviço de Alimentação Avulso</w:t>
            </w:r>
          </w:p>
        </w:tc>
      </w:tr>
      <w:tr w:rsidR="00B92FBB" w14:paraId="72CB8771" w14:textId="77777777" w:rsidTr="00471D79">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3A58EE3" w14:textId="77777777" w:rsidR="00B92FBB" w:rsidRDefault="00B92FBB">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77</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1675415" w14:textId="77777777" w:rsidR="00B92FBB" w:rsidRDefault="00B92FBB">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Coffee Break</w:t>
            </w:r>
            <w:r>
              <w:rPr>
                <w:rFonts w:ascii="Times New Roman" w:eastAsia="Times New Roman" w:hAnsi="Times New Roman" w:cs="Times New Roman"/>
                <w:color w:val="000000"/>
                <w:sz w:val="20"/>
                <w:szCs w:val="20"/>
                <w:lang w:val="pt-PT"/>
              </w:rPr>
              <w:t xml:space="preserve">. Salgado 8 tipos: produtos orgânicos e oriundos da agricultura familiar; 6 tipos de doces: Geléias, tortas, biscoitos e docinhos feitos com produtos da agricultura familiar; Salada de Frutas com granola; Bebidas: jarra de água, café, leite, chá, chocolate quente e 4 tipos de sucos; Tábuas de Frios; três tipos de pastas. </w:t>
            </w:r>
            <w:r>
              <w:rPr>
                <w:rFonts w:ascii="Times New Roman" w:eastAsia="Times New Roman" w:hAnsi="Times New Roman" w:cs="Times New Roman"/>
                <w:color w:val="000000"/>
                <w:sz w:val="16"/>
                <w:szCs w:val="16"/>
                <w:lang w:val="pt-PT"/>
              </w:rPr>
              <w:t>*</w:t>
            </w:r>
            <w:r>
              <w:rPr>
                <w:rFonts w:ascii="Times New Roman" w:eastAsia="Times New Roman" w:hAnsi="Times New Roman" w:cs="Times New Roman"/>
                <w:b/>
                <w:bCs/>
                <w:color w:val="000000"/>
                <w:sz w:val="16"/>
                <w:szCs w:val="16"/>
                <w:lang w:val="pt-PT"/>
              </w:rPr>
              <w:t>A quantidade a ser demandada pela Contratante para o fornecimento do serviço de coffee break será para o mínimo de 15 (quinze) pessoas.</w:t>
            </w:r>
          </w:p>
        </w:tc>
        <w:tc>
          <w:tcPr>
            <w:tcW w:w="18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4119D9F" w14:textId="77777777" w:rsidR="00B92FBB" w:rsidRDefault="00B92FBB">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P/pessoa</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2D89722" w14:textId="77777777" w:rsidR="00B92FBB" w:rsidRDefault="00B92FBB">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560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A2AB9EF" w14:textId="6918A941" w:rsidR="00B92FBB" w:rsidRDefault="00B92FBB">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17,00</w:t>
            </w:r>
          </w:p>
        </w:tc>
        <w:tc>
          <w:tcPr>
            <w:tcW w:w="11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2BE3B6" w14:textId="38CA9630" w:rsidR="00B92FBB" w:rsidRDefault="00B92FBB">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9520,00</w:t>
            </w:r>
          </w:p>
        </w:tc>
      </w:tr>
      <w:tr w:rsidR="00B92FBB" w14:paraId="66729A67" w14:textId="77777777" w:rsidTr="00471D79">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5180173" w14:textId="77777777" w:rsidR="00B92FBB" w:rsidRDefault="00B92FBB">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78</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4FC54F3" w14:textId="77777777" w:rsidR="00B92FBB" w:rsidRDefault="00B92FBB">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Brunch</w:t>
            </w:r>
          </w:p>
        </w:tc>
        <w:tc>
          <w:tcPr>
            <w:tcW w:w="18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F539C48" w14:textId="77777777" w:rsidR="00B92FBB" w:rsidRDefault="00B92FBB">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P/pessoa</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59F643A" w14:textId="77777777" w:rsidR="00B92FBB" w:rsidRDefault="00B92FBB">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300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ED4D863" w14:textId="5561956F" w:rsidR="00B92FBB" w:rsidRDefault="00B92FBB">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30,00</w:t>
            </w:r>
          </w:p>
        </w:tc>
        <w:tc>
          <w:tcPr>
            <w:tcW w:w="11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7E4D91" w14:textId="5E4BDD46" w:rsidR="00B92FBB" w:rsidRDefault="00B92FBB">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9000,00</w:t>
            </w:r>
          </w:p>
        </w:tc>
      </w:tr>
      <w:tr w:rsidR="00B92FBB" w14:paraId="6A9E7429" w14:textId="77777777" w:rsidTr="00471D79">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59A3C74" w14:textId="77777777" w:rsidR="00B92FBB" w:rsidRDefault="00B92FBB">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79</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90E2295" w14:textId="77777777" w:rsidR="00B92FBB" w:rsidRDefault="00B92FBB">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Serviço de Café, Garrafa Térmica, Inox, com café</w:t>
            </w:r>
          </w:p>
        </w:tc>
        <w:tc>
          <w:tcPr>
            <w:tcW w:w="18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E516BF2" w14:textId="77777777" w:rsidR="00B92FBB" w:rsidRDefault="00B92FBB">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Litro</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4A6F723" w14:textId="77777777" w:rsidR="00B92FBB" w:rsidRDefault="00B92FBB">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463B37C" w14:textId="63BD493B" w:rsidR="00B92FBB" w:rsidRDefault="00B92FBB">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20,00</w:t>
            </w:r>
          </w:p>
        </w:tc>
        <w:tc>
          <w:tcPr>
            <w:tcW w:w="11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E9779B" w14:textId="1E6CDE47" w:rsidR="00B92FBB" w:rsidRDefault="00B92FBB">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600,00</w:t>
            </w:r>
          </w:p>
        </w:tc>
      </w:tr>
      <w:tr w:rsidR="00B92FBB" w14:paraId="6FADD5B1" w14:textId="77777777" w:rsidTr="00471D79">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BDB36AA" w14:textId="77777777" w:rsidR="00B92FBB" w:rsidRDefault="00B92FBB">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80</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3CCF592" w14:textId="77777777" w:rsidR="00B92FBB" w:rsidRDefault="00B92FBB">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Lanche – 1 tipo de suco natural, café, biscoitos, pães, torradas, pet fur, pães de queijo, geleias e patê.</w:t>
            </w:r>
          </w:p>
        </w:tc>
        <w:tc>
          <w:tcPr>
            <w:tcW w:w="18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8F5A566" w14:textId="77777777" w:rsidR="00B92FBB" w:rsidRDefault="00B92FBB">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Por pessoa</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2D71F36" w14:textId="77777777" w:rsidR="00B92FBB" w:rsidRDefault="00B92FBB">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700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D51657" w14:textId="474656D5" w:rsidR="00B92FBB" w:rsidRDefault="00B92FBB">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8,00</w:t>
            </w:r>
          </w:p>
        </w:tc>
        <w:tc>
          <w:tcPr>
            <w:tcW w:w="11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6C6B22A" w14:textId="5ACE7BB6" w:rsidR="00B92FBB" w:rsidRDefault="00B92FBB">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5600,00</w:t>
            </w:r>
          </w:p>
        </w:tc>
      </w:tr>
      <w:tr w:rsidR="00B92FBB" w14:paraId="437F7B41" w14:textId="77777777" w:rsidTr="00471D79">
        <w:trPr>
          <w:trHeight w:val="1"/>
        </w:trPr>
        <w:tc>
          <w:tcPr>
            <w:tcW w:w="963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AEBCF5F" w14:textId="77777777" w:rsidR="00B92FBB" w:rsidRDefault="00B92FBB">
            <w:pPr>
              <w:spacing w:after="0" w:line="240" w:lineRule="auto"/>
              <w:jc w:val="center"/>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Recursos Humanos</w:t>
            </w:r>
          </w:p>
        </w:tc>
      </w:tr>
      <w:tr w:rsidR="00B92FBB" w14:paraId="03E3769B" w14:textId="77777777" w:rsidTr="00471D79">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CA83D51" w14:textId="77777777" w:rsidR="00B92FBB" w:rsidRDefault="00B92FBB">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81</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D44F197" w14:textId="77777777" w:rsidR="00B92FBB" w:rsidRDefault="00B92FBB">
            <w:pPr>
              <w:spacing w:after="0" w:line="240" w:lineRule="auto"/>
              <w:jc w:val="both"/>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Garçom Uniformizado</w:t>
            </w:r>
            <w:r>
              <w:rPr>
                <w:rFonts w:ascii="Times New Roman" w:eastAsia="Times New Roman" w:hAnsi="Times New Roman" w:cs="Times New Roman"/>
                <w:color w:val="000000"/>
                <w:sz w:val="20"/>
                <w:szCs w:val="20"/>
                <w:lang w:val="pt-PT"/>
              </w:rPr>
              <w:t>. Profissional capacitado para prestar serviços de garçom com uniforme</w:t>
            </w:r>
          </w:p>
        </w:tc>
        <w:tc>
          <w:tcPr>
            <w:tcW w:w="18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8F50B4A" w14:textId="77777777" w:rsidR="00B92FBB" w:rsidRDefault="00B92FBB">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BBF0320" w14:textId="77777777" w:rsidR="00B92FBB" w:rsidRDefault="00B92FBB">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9E7DC62" w14:textId="6DB9194C" w:rsidR="00B92FBB" w:rsidRDefault="00B92FBB">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70,00</w:t>
            </w:r>
          </w:p>
        </w:tc>
        <w:tc>
          <w:tcPr>
            <w:tcW w:w="11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FE7BE2" w14:textId="20EADB11" w:rsidR="00B92FBB" w:rsidRDefault="00B92FBB">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2800,00</w:t>
            </w:r>
          </w:p>
        </w:tc>
      </w:tr>
      <w:tr w:rsidR="00B92FBB" w14:paraId="67FB00AF" w14:textId="77777777" w:rsidTr="00471D79">
        <w:trPr>
          <w:trHeight w:val="1"/>
        </w:trPr>
        <w:tc>
          <w:tcPr>
            <w:tcW w:w="8502" w:type="dxa"/>
            <w:gridSpan w:val="5"/>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4849C231" w14:textId="77777777" w:rsidR="00B92FBB" w:rsidRDefault="00B92FBB">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Total</w:t>
            </w:r>
          </w:p>
        </w:tc>
        <w:tc>
          <w:tcPr>
            <w:tcW w:w="1128" w:type="dxa"/>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50ABC03F" w14:textId="2D886AFF" w:rsidR="00B92FBB" w:rsidRDefault="00B92FBB">
            <w:pPr>
              <w:spacing w:after="0" w:line="240" w:lineRule="auto"/>
              <w:jc w:val="right"/>
              <w:rPr>
                <w:rFonts w:ascii="Times New Roman" w:eastAsia="Times New Roman" w:hAnsi="Times New Roman" w:cs="Times New Roman"/>
                <w:b/>
                <w:bCs/>
                <w:sz w:val="20"/>
                <w:szCs w:val="20"/>
                <w:lang w:val="pt-PT"/>
              </w:rPr>
            </w:pPr>
            <w:r>
              <w:rPr>
                <w:rFonts w:ascii="Times New Roman" w:eastAsia="Times New Roman" w:hAnsi="Times New Roman" w:cs="Times New Roman"/>
                <w:b/>
                <w:bCs/>
                <w:sz w:val="20"/>
                <w:szCs w:val="20"/>
                <w:lang w:val="pt-PT"/>
              </w:rPr>
              <w:t>27520,00</w:t>
            </w:r>
          </w:p>
        </w:tc>
        <w:bookmarkEnd w:id="0"/>
      </w:tr>
    </w:tbl>
    <w:p w14:paraId="29D39FB7" w14:textId="77777777" w:rsidR="00B92FBB" w:rsidRPr="00471D79" w:rsidRDefault="00B92FBB" w:rsidP="00E13DD0">
      <w:pPr>
        <w:spacing w:after="0" w:line="240" w:lineRule="auto"/>
        <w:ind w:right="-569"/>
        <w:jc w:val="both"/>
        <w:rPr>
          <w:rFonts w:ascii="Times New Roman" w:eastAsia="Times New Roman" w:hAnsi="Times New Roman" w:cs="Times New Roman"/>
          <w:sz w:val="24"/>
          <w:szCs w:val="24"/>
        </w:rPr>
      </w:pPr>
    </w:p>
    <w:p w14:paraId="0AD91016" w14:textId="04B6F4DA" w:rsidR="00181A42" w:rsidRPr="00471D79" w:rsidRDefault="00181A42" w:rsidP="00471D79">
      <w:pPr>
        <w:spacing w:after="0" w:line="240" w:lineRule="auto"/>
        <w:ind w:right="-569"/>
        <w:jc w:val="both"/>
        <w:rPr>
          <w:rFonts w:ascii="Times New Roman" w:eastAsia="Times New Roman" w:hAnsi="Times New Roman" w:cs="Times New Roman"/>
          <w:sz w:val="24"/>
          <w:szCs w:val="24"/>
        </w:rPr>
      </w:pPr>
      <w:r w:rsidRPr="00471D79">
        <w:rPr>
          <w:rFonts w:ascii="Times New Roman" w:eastAsia="Times New Roman" w:hAnsi="Times New Roman" w:cs="Times New Roman"/>
          <w:sz w:val="24"/>
          <w:szCs w:val="24"/>
        </w:rPr>
        <w:t>2.</w:t>
      </w:r>
      <w:r w:rsidR="00422431" w:rsidRPr="00471D79">
        <w:rPr>
          <w:rFonts w:ascii="Times New Roman" w:eastAsia="Times New Roman" w:hAnsi="Times New Roman" w:cs="Times New Roman"/>
          <w:sz w:val="24"/>
          <w:szCs w:val="24"/>
        </w:rPr>
        <w:t>3</w:t>
      </w:r>
      <w:r w:rsidRPr="00471D79">
        <w:rPr>
          <w:rFonts w:ascii="Times New Roman" w:eastAsia="Times New Roman" w:hAnsi="Times New Roman" w:cs="Times New Roman"/>
          <w:sz w:val="24"/>
          <w:szCs w:val="24"/>
        </w:rPr>
        <w:t xml:space="preserve">. O valor global estimado </w:t>
      </w:r>
      <w:r w:rsidR="00422431" w:rsidRPr="00471D79">
        <w:rPr>
          <w:rFonts w:ascii="Times New Roman" w:eastAsia="Times New Roman" w:hAnsi="Times New Roman" w:cs="Times New Roman"/>
          <w:sz w:val="24"/>
          <w:szCs w:val="24"/>
        </w:rPr>
        <w:t xml:space="preserve">para o Grupo 3 </w:t>
      </w:r>
      <w:r w:rsidRPr="00471D79">
        <w:rPr>
          <w:rFonts w:ascii="Times New Roman" w:eastAsia="Times New Roman" w:hAnsi="Times New Roman" w:cs="Times New Roman"/>
          <w:sz w:val="24"/>
          <w:szCs w:val="24"/>
        </w:rPr>
        <w:t xml:space="preserve">corresponde a R$ </w:t>
      </w:r>
      <w:r w:rsidR="00422431" w:rsidRPr="00471D79">
        <w:rPr>
          <w:rFonts w:ascii="Times New Roman" w:eastAsia="Times New Roman" w:hAnsi="Times New Roman" w:cs="Times New Roman"/>
          <w:sz w:val="24"/>
          <w:szCs w:val="24"/>
        </w:rPr>
        <w:t>27.520,00 (vinte e sete mil e quinhentos e vinte reais).</w:t>
      </w:r>
    </w:p>
    <w:p w14:paraId="6CBF1B1B" w14:textId="455CC5FD" w:rsidR="00181A42" w:rsidRPr="00471D79" w:rsidRDefault="00181A42" w:rsidP="00471D79">
      <w:pPr>
        <w:spacing w:after="0" w:line="240" w:lineRule="auto"/>
        <w:ind w:right="-569"/>
        <w:jc w:val="both"/>
        <w:rPr>
          <w:rFonts w:ascii="Times New Roman" w:eastAsia="Times New Roman" w:hAnsi="Times New Roman" w:cs="Times New Roman"/>
          <w:sz w:val="24"/>
          <w:szCs w:val="24"/>
        </w:rPr>
      </w:pPr>
    </w:p>
    <w:tbl>
      <w:tblPr>
        <w:tblStyle w:val="afff2"/>
        <w:tblW w:w="9637" w:type="dxa"/>
        <w:tblInd w:w="0" w:type="dxa"/>
        <w:tblLayout w:type="fixed"/>
        <w:tblLook w:val="0000" w:firstRow="0" w:lastRow="0" w:firstColumn="0" w:lastColumn="0" w:noHBand="0" w:noVBand="0"/>
      </w:tblPr>
      <w:tblGrid>
        <w:gridCol w:w="9637"/>
      </w:tblGrid>
      <w:tr w:rsidR="00CE6985" w:rsidRPr="003C4021" w14:paraId="7E117DBB" w14:textId="77777777">
        <w:tc>
          <w:tcPr>
            <w:tcW w:w="9637" w:type="dxa"/>
            <w:shd w:val="clear" w:color="auto" w:fill="auto"/>
          </w:tcPr>
          <w:p w14:paraId="7E117DBA"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3. Da Adesão à Ata de Registro de Preços</w:t>
            </w:r>
          </w:p>
        </w:tc>
      </w:tr>
    </w:tbl>
    <w:p w14:paraId="7E117DBC" w14:textId="77777777" w:rsidR="00CE6985" w:rsidRPr="003C4021" w:rsidRDefault="00CE6985">
      <w:pPr>
        <w:tabs>
          <w:tab w:val="center" w:pos="4779"/>
        </w:tabs>
        <w:spacing w:after="0" w:line="240" w:lineRule="auto"/>
        <w:ind w:right="-569"/>
        <w:jc w:val="both"/>
        <w:rPr>
          <w:rFonts w:ascii="Times New Roman" w:eastAsia="Times New Roman" w:hAnsi="Times New Roman" w:cs="Times New Roman"/>
          <w:sz w:val="24"/>
          <w:szCs w:val="24"/>
        </w:rPr>
      </w:pPr>
    </w:p>
    <w:p w14:paraId="7E117DBD"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8.666/1993 e no Decreto nº 7.892/2013.</w:t>
      </w:r>
    </w:p>
    <w:p w14:paraId="7E117DBE"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BF"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3.2.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7E117DC0"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1"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7E117DC2"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3"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3.4. 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7E117DC4"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5"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3.5. 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14:paraId="7E117DC6"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7" w14:textId="1B71DCB2"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3.6. Tratando-se de item exclusivo para microempresas e empresas de pequeno porte e cooperativas enquadradas no artigo 34 da Lei n</w:t>
      </w:r>
      <w:r w:rsidR="00AC4109" w:rsidRPr="003C4021">
        <w:rPr>
          <w:rFonts w:ascii="Times New Roman" w:eastAsia="Times New Roman" w:hAnsi="Times New Roman" w:cs="Times New Roman"/>
          <w:sz w:val="24"/>
          <w:szCs w:val="24"/>
        </w:rPr>
        <w:t>º</w:t>
      </w:r>
      <w:r w:rsidRPr="003C4021">
        <w:rPr>
          <w:rFonts w:ascii="Times New Roman" w:eastAsia="Times New Roman" w:hAnsi="Times New Roman" w:cs="Times New Roman"/>
          <w:sz w:val="24"/>
          <w:szCs w:val="24"/>
        </w:rPr>
        <w:t xml:space="preserve">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2957/2011-P).</w:t>
      </w:r>
    </w:p>
    <w:p w14:paraId="7E117DC8"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9"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3.7.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7E117DCA"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B"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3.8. Após a autorização do órgão gerenciador, o órgão não participante deverá efetivar a contratação solicitada em até noventa dias, observado o prazo de validade da Ata de Registro de Preços.</w:t>
      </w:r>
    </w:p>
    <w:p w14:paraId="7E117DCC"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D"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3.9. Caberá ao órgão gerenciador autorizar, excepcional e justificadamente, a prorrogação do prazo para efetivação da contratação, respeitado o prazo de vigência da ata, desde que solicitada pelo órgão não participante.</w:t>
      </w:r>
    </w:p>
    <w:p w14:paraId="7E117DCE" w14:textId="77777777" w:rsidR="00CE6985" w:rsidRPr="003C4021" w:rsidRDefault="00CE6985">
      <w:pPr>
        <w:tabs>
          <w:tab w:val="center" w:pos="4779"/>
        </w:tabs>
        <w:spacing w:after="0" w:line="240" w:lineRule="auto"/>
        <w:ind w:right="-569"/>
        <w:jc w:val="both"/>
        <w:rPr>
          <w:rFonts w:ascii="Times New Roman" w:eastAsia="Times New Roman" w:hAnsi="Times New Roman" w:cs="Times New Roman"/>
          <w:sz w:val="24"/>
          <w:szCs w:val="24"/>
        </w:rPr>
      </w:pPr>
    </w:p>
    <w:tbl>
      <w:tblPr>
        <w:tblStyle w:val="afff3"/>
        <w:tblW w:w="9637" w:type="dxa"/>
        <w:tblInd w:w="0" w:type="dxa"/>
        <w:tblLayout w:type="fixed"/>
        <w:tblLook w:val="0000" w:firstRow="0" w:lastRow="0" w:firstColumn="0" w:lastColumn="0" w:noHBand="0" w:noVBand="0"/>
      </w:tblPr>
      <w:tblGrid>
        <w:gridCol w:w="9637"/>
      </w:tblGrid>
      <w:tr w:rsidR="00CE6985" w:rsidRPr="003C4021" w14:paraId="7E117DD0" w14:textId="77777777">
        <w:tc>
          <w:tcPr>
            <w:tcW w:w="9637" w:type="dxa"/>
            <w:shd w:val="clear" w:color="auto" w:fill="auto"/>
          </w:tcPr>
          <w:p w14:paraId="7E117DCF"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4. Da Validade da Ata</w:t>
            </w:r>
          </w:p>
        </w:tc>
      </w:tr>
    </w:tbl>
    <w:p w14:paraId="7E117DD1" w14:textId="77777777" w:rsidR="00CE6985" w:rsidRPr="003C4021" w:rsidRDefault="00CE6985">
      <w:pPr>
        <w:tabs>
          <w:tab w:val="center" w:pos="4779"/>
        </w:tabs>
        <w:spacing w:after="0" w:line="240" w:lineRule="auto"/>
        <w:ind w:right="-569"/>
        <w:jc w:val="both"/>
        <w:rPr>
          <w:rFonts w:ascii="Times New Roman" w:eastAsia="Times New Roman" w:hAnsi="Times New Roman" w:cs="Times New Roman"/>
          <w:sz w:val="24"/>
          <w:szCs w:val="24"/>
        </w:rPr>
      </w:pPr>
    </w:p>
    <w:p w14:paraId="7E117DD2" w14:textId="37455583"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4.1. A validade da Ata de Registro de Preços será de 12 meses, a partir </w:t>
      </w:r>
      <w:r w:rsidR="00833CC5" w:rsidRPr="003C4021">
        <w:rPr>
          <w:rFonts w:ascii="Times New Roman" w:eastAsia="Times New Roman" w:hAnsi="Times New Roman" w:cs="Times New Roman"/>
          <w:sz w:val="24"/>
          <w:szCs w:val="24"/>
        </w:rPr>
        <w:t>de sua assinatura</w:t>
      </w:r>
      <w:r w:rsidRPr="003C4021">
        <w:rPr>
          <w:rFonts w:ascii="Times New Roman" w:eastAsia="Times New Roman" w:hAnsi="Times New Roman" w:cs="Times New Roman"/>
          <w:sz w:val="24"/>
          <w:szCs w:val="24"/>
        </w:rPr>
        <w:t>, não podendo ser prorrogada.</w:t>
      </w:r>
    </w:p>
    <w:p w14:paraId="7E117DD3"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tbl>
      <w:tblPr>
        <w:tblStyle w:val="afff4"/>
        <w:tblW w:w="9637" w:type="dxa"/>
        <w:tblInd w:w="0" w:type="dxa"/>
        <w:tblLayout w:type="fixed"/>
        <w:tblLook w:val="0000" w:firstRow="0" w:lastRow="0" w:firstColumn="0" w:lastColumn="0" w:noHBand="0" w:noVBand="0"/>
      </w:tblPr>
      <w:tblGrid>
        <w:gridCol w:w="9637"/>
      </w:tblGrid>
      <w:tr w:rsidR="00CE6985" w:rsidRPr="003C4021" w14:paraId="7E117DD5" w14:textId="77777777">
        <w:tc>
          <w:tcPr>
            <w:tcW w:w="9637" w:type="dxa"/>
            <w:shd w:val="clear" w:color="auto" w:fill="auto"/>
          </w:tcPr>
          <w:p w14:paraId="7E117DD4"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5. Da Revisão e Cancelamento</w:t>
            </w:r>
          </w:p>
        </w:tc>
      </w:tr>
    </w:tbl>
    <w:p w14:paraId="7E117DD6" w14:textId="77777777" w:rsidR="00CE6985" w:rsidRPr="003C4021" w:rsidRDefault="00CE6985">
      <w:pPr>
        <w:tabs>
          <w:tab w:val="center" w:pos="4779"/>
        </w:tabs>
        <w:spacing w:after="0" w:line="240" w:lineRule="auto"/>
        <w:ind w:right="-569"/>
        <w:jc w:val="both"/>
        <w:rPr>
          <w:rFonts w:ascii="Times New Roman" w:eastAsia="Times New Roman" w:hAnsi="Times New Roman" w:cs="Times New Roman"/>
          <w:color w:val="000000"/>
          <w:sz w:val="24"/>
          <w:szCs w:val="24"/>
        </w:rPr>
      </w:pPr>
    </w:p>
    <w:p w14:paraId="7E117DD7"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5.1. A Administração realizará pesquisa de mercado periodicamente, em intervalos não superiores a 180 (cento e oitenta) dias, a fim de verificar a vantajosidade dos preços registrados nesta Ata.</w:t>
      </w:r>
    </w:p>
    <w:p w14:paraId="7E117DD8"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D9"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5.2. Os preços registrados poderão ser revistos em decorrência de eventual redução dos preços praticados no mercado ou de fato que eleve o custo do objeto registrado, cabendo à Administração promover as negociações junto aos fornecedores.</w:t>
      </w:r>
    </w:p>
    <w:p w14:paraId="7E117DDA"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DB"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5.3. Quando o preço registrado tornar-se superior ao preço praticado no mercado por motivo superveniente, a Administração convocará os fornecedores para negociarem a redução dos preços aos valores praticados pelo mercado.</w:t>
      </w:r>
    </w:p>
    <w:p w14:paraId="7E117DDC"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DD"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5.4. O fornecedor que não aceitar reduzir seu preço ao valor praticado pelo mercado será liberado do compromisso assumido, sem aplicação de penalidade.</w:t>
      </w:r>
    </w:p>
    <w:p w14:paraId="7E117DDE"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DF"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5.5. A ordem de classificação dos fornecedores que aceitarem reduzir seus preços aos valores de mercado observará a classificação original.</w:t>
      </w:r>
    </w:p>
    <w:p w14:paraId="7E117DE0" w14:textId="77777777" w:rsidR="00CE6985" w:rsidRPr="003C4021" w:rsidRDefault="00CE6985">
      <w:pPr>
        <w:spacing w:after="0" w:line="240" w:lineRule="auto"/>
        <w:ind w:right="-569"/>
        <w:jc w:val="both"/>
        <w:rPr>
          <w:rFonts w:ascii="Times New Roman" w:eastAsia="Times New Roman" w:hAnsi="Times New Roman" w:cs="Times New Roman"/>
          <w:i/>
          <w:color w:val="000000"/>
          <w:sz w:val="24"/>
          <w:szCs w:val="24"/>
        </w:rPr>
      </w:pPr>
    </w:p>
    <w:p w14:paraId="7E117DE1"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5.6. Quando o preço de mercado tornar-se superior aos preços registrados e o fornecedor não puder cumprir o compromisso, o órgão gerenciador poderá:</w:t>
      </w:r>
    </w:p>
    <w:p w14:paraId="7E117DE2"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5.6.1. liberar o fornecedor do compromisso assumido, caso a comunicação ocorra antes do pedido de fornecimento, e sem aplicação da penalidade se confirmada a veracidade dos motivos e comprovantes apresentados; e</w:t>
      </w:r>
    </w:p>
    <w:p w14:paraId="7E117DE3"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5.6.2. convocar os demais fornecedores para assegurar igual oportunidade de negociação.</w:t>
      </w:r>
    </w:p>
    <w:p w14:paraId="7E117DE4"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E5"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5.7. Não havendo êxito nas negociações, o órgão gerenciador deverá proceder à revogação desta ata de registro de preços, adotando as medidas cabíveis para obtenção da contratação mais vantajosa.</w:t>
      </w:r>
    </w:p>
    <w:p w14:paraId="7E117DE6"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E7"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 O registro do fornecedor será cancelado quando:</w:t>
      </w:r>
    </w:p>
    <w:p w14:paraId="7E117DE8"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5.8.1. descumprir as condições da ata de registro de preços;</w:t>
      </w:r>
    </w:p>
    <w:p w14:paraId="7E117DE9"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5.8.2. não retirar a nota de empenho ou instrumento equivalente no prazo estabelecido pela Administração, sem justificativa aceitável;</w:t>
      </w:r>
    </w:p>
    <w:p w14:paraId="7E117DEA"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5.8.3. não aceitar reduzir o seu preço registrado, na hipótese deste se tornar superior àqueles praticados no mercado; ou</w:t>
      </w:r>
    </w:p>
    <w:p w14:paraId="7E117DEB"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5.8.4. sofrer sanção administrativa cujo efeito torne-o proibido de celebrar contrato administrativo, alcançando o órgão gerenciador e órgãos participantes.</w:t>
      </w:r>
    </w:p>
    <w:p w14:paraId="7E117DEC"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ED"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5.9. O cancelamento de registros nas hipóteses previstas nos itens 5.8.1, 5.8.2 e 5.8.4 será formalizado por despacho do órgão gerenciador, assegurado o contraditório e a ampla defesa.</w:t>
      </w:r>
    </w:p>
    <w:p w14:paraId="7E117DEE"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EF"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5.10. O cancelamento do registro de preços poderá ocorrer por fato superveniente, decorrente de caso fortuito ou força maior, que prejudique o cumprimento da ata, devidamente comprovados e justificados:</w:t>
      </w:r>
    </w:p>
    <w:p w14:paraId="7E117DF0"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5.10.1. por razão de interesse público; ou</w:t>
      </w:r>
    </w:p>
    <w:p w14:paraId="7E117DF1" w14:textId="1C82AABC" w:rsidR="00CE6985"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5.10.2. a pedido do fornecedor.</w:t>
      </w:r>
    </w:p>
    <w:p w14:paraId="5BDCB913" w14:textId="7CDCF4D4" w:rsidR="00777A44" w:rsidRPr="003C4021" w:rsidRDefault="00777A44" w:rsidP="00401105">
      <w:pPr>
        <w:spacing w:after="0" w:line="240" w:lineRule="auto"/>
        <w:ind w:right="-569"/>
        <w:jc w:val="both"/>
        <w:rPr>
          <w:rFonts w:ascii="Times New Roman" w:eastAsia="Times New Roman" w:hAnsi="Times New Roman" w:cs="Times New Roman"/>
          <w:color w:val="000000"/>
          <w:sz w:val="24"/>
          <w:szCs w:val="24"/>
        </w:rPr>
      </w:pPr>
    </w:p>
    <w:tbl>
      <w:tblPr>
        <w:tblStyle w:val="afff5"/>
        <w:tblW w:w="9637" w:type="dxa"/>
        <w:tblInd w:w="0" w:type="dxa"/>
        <w:tblLayout w:type="fixed"/>
        <w:tblLook w:val="0000" w:firstRow="0" w:lastRow="0" w:firstColumn="0" w:lastColumn="0" w:noHBand="0" w:noVBand="0"/>
      </w:tblPr>
      <w:tblGrid>
        <w:gridCol w:w="9637"/>
      </w:tblGrid>
      <w:tr w:rsidR="00CE6985" w:rsidRPr="003C4021" w14:paraId="7E117DF4" w14:textId="77777777">
        <w:tc>
          <w:tcPr>
            <w:tcW w:w="9637" w:type="dxa"/>
            <w:shd w:val="clear" w:color="auto" w:fill="auto"/>
          </w:tcPr>
          <w:p w14:paraId="7E117DF3"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6. Das Penalidades</w:t>
            </w:r>
          </w:p>
        </w:tc>
      </w:tr>
    </w:tbl>
    <w:p w14:paraId="7E117DF5" w14:textId="77777777" w:rsidR="00CE6985" w:rsidRPr="003C4021" w:rsidRDefault="00CE6985">
      <w:pPr>
        <w:tabs>
          <w:tab w:val="center" w:pos="4779"/>
          <w:tab w:val="right" w:pos="9198"/>
        </w:tabs>
        <w:spacing w:after="0" w:line="240" w:lineRule="auto"/>
        <w:ind w:right="-569"/>
        <w:jc w:val="both"/>
        <w:rPr>
          <w:rFonts w:ascii="Times New Roman" w:eastAsia="Times New Roman" w:hAnsi="Times New Roman" w:cs="Times New Roman"/>
          <w:color w:val="000000"/>
          <w:sz w:val="24"/>
          <w:szCs w:val="24"/>
        </w:rPr>
      </w:pPr>
    </w:p>
    <w:p w14:paraId="7E117DF6"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6.1. O descumprimento da Ata de Registro de Preços ensejará aplicação das penalidades estabelecidas no Edital.</w:t>
      </w:r>
    </w:p>
    <w:p w14:paraId="7E117DF7"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F8"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7E117DF9"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FA"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6.3. O órgão participante deverá comunicar ao órgão gerenciador qualquer das ocorrências previstas no art. 20 do Decreto nº 7.892/2013, dada a necessidade de instauração de procedimento para cancelamento do registro do fornecedor.</w:t>
      </w:r>
    </w:p>
    <w:p w14:paraId="7E117DFB"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ff6"/>
        <w:tblW w:w="9637" w:type="dxa"/>
        <w:tblInd w:w="0" w:type="dxa"/>
        <w:tblLayout w:type="fixed"/>
        <w:tblLook w:val="0000" w:firstRow="0" w:lastRow="0" w:firstColumn="0" w:lastColumn="0" w:noHBand="0" w:noVBand="0"/>
      </w:tblPr>
      <w:tblGrid>
        <w:gridCol w:w="9637"/>
      </w:tblGrid>
      <w:tr w:rsidR="00CE6985" w:rsidRPr="003C4021" w14:paraId="7E117DFD" w14:textId="77777777">
        <w:tc>
          <w:tcPr>
            <w:tcW w:w="9637" w:type="dxa"/>
            <w:shd w:val="clear" w:color="auto" w:fill="auto"/>
          </w:tcPr>
          <w:p w14:paraId="7E117DFC"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7. Das Condições Gerais</w:t>
            </w:r>
          </w:p>
        </w:tc>
      </w:tr>
    </w:tbl>
    <w:p w14:paraId="7E117DFE" w14:textId="77777777" w:rsidR="00CE6985" w:rsidRPr="003C4021" w:rsidRDefault="00CE6985">
      <w:pPr>
        <w:tabs>
          <w:tab w:val="center" w:pos="4779"/>
          <w:tab w:val="right" w:pos="9198"/>
        </w:tabs>
        <w:spacing w:after="0" w:line="240" w:lineRule="auto"/>
        <w:jc w:val="both"/>
        <w:rPr>
          <w:rFonts w:ascii="Times New Roman" w:eastAsia="Times New Roman" w:hAnsi="Times New Roman" w:cs="Times New Roman"/>
          <w:sz w:val="24"/>
          <w:szCs w:val="24"/>
        </w:rPr>
      </w:pPr>
    </w:p>
    <w:p w14:paraId="7E117DFF" w14:textId="740923E9"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7.1. As condições gerais do fornecimento, tais como os prazos para entrega e recebimento do objeto, as obrigações da Administração e do fornecedor registrado, penalidades e demais condições do ajuste, encontram-se definidos no Termo de Referência, </w:t>
      </w:r>
      <w:r w:rsidR="008F4CA5" w:rsidRPr="003C4021">
        <w:rPr>
          <w:rFonts w:ascii="Times New Roman" w:eastAsia="Times New Roman" w:hAnsi="Times New Roman" w:cs="Times New Roman"/>
          <w:sz w:val="24"/>
          <w:szCs w:val="24"/>
        </w:rPr>
        <w:t>Anexo ao Edital</w:t>
      </w:r>
      <w:r w:rsidRPr="003C4021">
        <w:rPr>
          <w:rFonts w:ascii="Times New Roman" w:eastAsia="Times New Roman" w:hAnsi="Times New Roman" w:cs="Times New Roman"/>
          <w:sz w:val="24"/>
          <w:szCs w:val="24"/>
        </w:rPr>
        <w:t>.</w:t>
      </w:r>
    </w:p>
    <w:p w14:paraId="7E117E00" w14:textId="77777777" w:rsidR="00CE6985" w:rsidRPr="003C4021" w:rsidRDefault="00CE6985">
      <w:pPr>
        <w:spacing w:after="0" w:line="240" w:lineRule="auto"/>
        <w:jc w:val="both"/>
        <w:rPr>
          <w:rFonts w:ascii="Times New Roman" w:eastAsia="Times New Roman" w:hAnsi="Times New Roman" w:cs="Times New Roman"/>
          <w:sz w:val="24"/>
          <w:szCs w:val="24"/>
        </w:rPr>
      </w:pPr>
    </w:p>
    <w:p w14:paraId="7E117E01" w14:textId="77777777"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7.2. É vedado efetuar acréscimos nos quantitativos fixados nesta ata de registro de preços, inclusive o acréscimo de que trata o § 1º do art. 65 da Lei nº 8.666/1993, nos termos do art. 12, §1º do Decreto nº 7892/2013.</w:t>
      </w:r>
    </w:p>
    <w:p w14:paraId="7E117E02" w14:textId="77777777" w:rsidR="00CE6985" w:rsidRPr="003C4021" w:rsidRDefault="00CE6985">
      <w:pPr>
        <w:spacing w:after="0" w:line="240" w:lineRule="auto"/>
        <w:jc w:val="both"/>
        <w:rPr>
          <w:rFonts w:ascii="Times New Roman" w:eastAsia="Times New Roman" w:hAnsi="Times New Roman" w:cs="Times New Roman"/>
          <w:sz w:val="24"/>
          <w:szCs w:val="24"/>
        </w:rPr>
      </w:pPr>
    </w:p>
    <w:p w14:paraId="7E117E03" w14:textId="77777777"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7.3. No caso de adjudicação por preço global de grupo de itens, só será admitida a contratação dos itens nas seguintes hipóteses.</w:t>
      </w:r>
    </w:p>
    <w:p w14:paraId="7E117E04" w14:textId="77777777" w:rsidR="00CE6985" w:rsidRPr="003C4021" w:rsidRDefault="00CA143A" w:rsidP="00833CC5">
      <w:pPr>
        <w:spacing w:after="0" w:line="240" w:lineRule="auto"/>
        <w:ind w:left="567"/>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7.3.1. contratação de item isolado para o qual o preço unitário adjudicado ao vencedor seja o menor preço válido ofertado para o mesmo item na fase de lances</w:t>
      </w:r>
    </w:p>
    <w:p w14:paraId="7E117E05" w14:textId="77777777" w:rsidR="00CE6985" w:rsidRPr="003C4021" w:rsidRDefault="00CE6985">
      <w:pPr>
        <w:spacing w:after="0" w:line="240" w:lineRule="auto"/>
        <w:jc w:val="both"/>
        <w:rPr>
          <w:rFonts w:ascii="Times New Roman" w:eastAsia="Times New Roman" w:hAnsi="Times New Roman" w:cs="Times New Roman"/>
          <w:sz w:val="24"/>
          <w:szCs w:val="24"/>
        </w:rPr>
      </w:pPr>
    </w:p>
    <w:p w14:paraId="7E117E06" w14:textId="0B05053E"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7.4. A ata de realização da sessão pública do pregão, contendo a relação dos licitantes que aceitarem cotar os bens ou serviços com preços iguais ao do licitante vencedor do certame, será anexada a esta Ata de Registro de Preços, nos termos do art. 11, §4º do Decreto n</w:t>
      </w:r>
      <w:r w:rsidR="008F4CA5" w:rsidRPr="003C4021">
        <w:rPr>
          <w:rFonts w:ascii="Times New Roman" w:eastAsia="Times New Roman" w:hAnsi="Times New Roman" w:cs="Times New Roman"/>
          <w:sz w:val="24"/>
          <w:szCs w:val="24"/>
        </w:rPr>
        <w:t>º</w:t>
      </w:r>
      <w:r w:rsidRPr="003C4021">
        <w:rPr>
          <w:rFonts w:ascii="Times New Roman" w:eastAsia="Times New Roman" w:hAnsi="Times New Roman" w:cs="Times New Roman"/>
          <w:sz w:val="24"/>
          <w:szCs w:val="24"/>
        </w:rPr>
        <w:t xml:space="preserve"> 7.892/2014.</w:t>
      </w:r>
    </w:p>
    <w:p w14:paraId="7E117E07" w14:textId="77777777" w:rsidR="00CE6985" w:rsidRPr="003C4021" w:rsidRDefault="00CE6985">
      <w:pPr>
        <w:spacing w:after="0" w:line="240" w:lineRule="auto"/>
        <w:jc w:val="both"/>
        <w:rPr>
          <w:rFonts w:ascii="Times New Roman" w:eastAsia="Times New Roman" w:hAnsi="Times New Roman" w:cs="Times New Roman"/>
          <w:sz w:val="24"/>
          <w:szCs w:val="24"/>
        </w:rPr>
      </w:pPr>
    </w:p>
    <w:p w14:paraId="7E117E08" w14:textId="77777777"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7.5. Para firmeza e validade do pactuado, a presente Ata foi lavrada em 2 (duas) vias de igual teor, que, depois de lida e achada em ordem, vai assinada pelas partes.</w:t>
      </w:r>
    </w:p>
    <w:p w14:paraId="7E117E09" w14:textId="77777777" w:rsidR="00CE6985" w:rsidRPr="003C4021" w:rsidRDefault="00CE6985">
      <w:pPr>
        <w:spacing w:after="0" w:line="240" w:lineRule="auto"/>
        <w:jc w:val="both"/>
        <w:rPr>
          <w:rFonts w:ascii="Times New Roman" w:eastAsia="Times New Roman" w:hAnsi="Times New Roman" w:cs="Times New Roman"/>
          <w:sz w:val="24"/>
          <w:szCs w:val="24"/>
        </w:rPr>
      </w:pPr>
    </w:p>
    <w:p w14:paraId="7E117E0A" w14:textId="54C08078" w:rsidR="00CE6985" w:rsidRPr="003C4021" w:rsidRDefault="00CA143A">
      <w:pPr>
        <w:spacing w:after="0" w:line="240" w:lineRule="auto"/>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Brasília-DF, </w:t>
      </w:r>
      <w:r w:rsidR="00A2485E">
        <w:rPr>
          <w:rFonts w:ascii="Times New Roman" w:eastAsia="Times New Roman" w:hAnsi="Times New Roman" w:cs="Times New Roman"/>
          <w:sz w:val="24"/>
          <w:szCs w:val="24"/>
        </w:rPr>
        <w:t>1</w:t>
      </w:r>
      <w:r w:rsidR="00401105">
        <w:rPr>
          <w:rFonts w:ascii="Times New Roman" w:eastAsia="Times New Roman" w:hAnsi="Times New Roman" w:cs="Times New Roman"/>
          <w:sz w:val="24"/>
          <w:szCs w:val="24"/>
        </w:rPr>
        <w:t>6</w:t>
      </w:r>
      <w:r w:rsidRPr="003C4021">
        <w:rPr>
          <w:rFonts w:ascii="Times New Roman" w:eastAsia="Times New Roman" w:hAnsi="Times New Roman" w:cs="Times New Roman"/>
          <w:sz w:val="24"/>
          <w:szCs w:val="24"/>
        </w:rPr>
        <w:t xml:space="preserve"> de </w:t>
      </w:r>
      <w:r w:rsidR="00A2485E">
        <w:rPr>
          <w:rFonts w:ascii="Times New Roman" w:eastAsia="Times New Roman" w:hAnsi="Times New Roman" w:cs="Times New Roman"/>
          <w:sz w:val="24"/>
          <w:szCs w:val="24"/>
        </w:rPr>
        <w:t>dezembro</w:t>
      </w:r>
      <w:r w:rsidRPr="003C4021">
        <w:rPr>
          <w:rFonts w:ascii="Times New Roman" w:eastAsia="Times New Roman" w:hAnsi="Times New Roman" w:cs="Times New Roman"/>
          <w:sz w:val="24"/>
          <w:szCs w:val="24"/>
        </w:rPr>
        <w:t xml:space="preserve"> de </w:t>
      </w:r>
      <w:r w:rsidR="00A2485E">
        <w:rPr>
          <w:rFonts w:ascii="Times New Roman" w:eastAsia="Times New Roman" w:hAnsi="Times New Roman" w:cs="Times New Roman"/>
          <w:sz w:val="24"/>
          <w:szCs w:val="24"/>
        </w:rPr>
        <w:t>2022</w:t>
      </w:r>
    </w:p>
    <w:p w14:paraId="7E117E0B" w14:textId="5A79460F" w:rsidR="00CE6985" w:rsidRDefault="00CE6985">
      <w:pPr>
        <w:spacing w:after="0" w:line="240" w:lineRule="auto"/>
        <w:jc w:val="both"/>
        <w:rPr>
          <w:rFonts w:ascii="Times New Roman" w:eastAsia="Times New Roman" w:hAnsi="Times New Roman" w:cs="Times New Roman"/>
          <w:sz w:val="24"/>
          <w:szCs w:val="24"/>
        </w:rPr>
      </w:pPr>
    </w:p>
    <w:p w14:paraId="79819A18" w14:textId="77777777" w:rsidR="00100462" w:rsidRPr="003C4021" w:rsidRDefault="00100462">
      <w:pPr>
        <w:spacing w:after="0" w:line="240" w:lineRule="auto"/>
        <w:jc w:val="both"/>
        <w:rPr>
          <w:rFonts w:ascii="Times New Roman" w:eastAsia="Times New Roman" w:hAnsi="Times New Roman" w:cs="Times New Roman"/>
          <w:sz w:val="24"/>
          <w:szCs w:val="24"/>
        </w:rPr>
      </w:pPr>
    </w:p>
    <w:tbl>
      <w:tblPr>
        <w:tblStyle w:val="afff7"/>
        <w:tblW w:w="9637" w:type="dxa"/>
        <w:tblInd w:w="0" w:type="dxa"/>
        <w:tblLayout w:type="fixed"/>
        <w:tblLook w:val="0000" w:firstRow="0" w:lastRow="0" w:firstColumn="0" w:lastColumn="0" w:noHBand="0" w:noVBand="0"/>
      </w:tblPr>
      <w:tblGrid>
        <w:gridCol w:w="4818"/>
        <w:gridCol w:w="4819"/>
      </w:tblGrid>
      <w:tr w:rsidR="00CE6985" w:rsidRPr="003C4021" w14:paraId="7E117E13" w14:textId="77777777">
        <w:tc>
          <w:tcPr>
            <w:tcW w:w="4818" w:type="dxa"/>
            <w:shd w:val="clear" w:color="auto" w:fill="auto"/>
          </w:tcPr>
          <w:p w14:paraId="7E117E0D" w14:textId="77777777" w:rsidR="00CE6985" w:rsidRPr="00A2485E" w:rsidRDefault="00CA143A">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es-UY"/>
              </w:rPr>
            </w:pPr>
            <w:r w:rsidRPr="00A2485E">
              <w:rPr>
                <w:rFonts w:ascii="Times New Roman" w:eastAsia="Times New Roman" w:hAnsi="Times New Roman" w:cs="Times New Roman"/>
                <w:sz w:val="24"/>
                <w:szCs w:val="24"/>
                <w:lang w:val="es-UY"/>
              </w:rPr>
              <w:t>_______________________________________</w:t>
            </w:r>
          </w:p>
          <w:p w14:paraId="7E117E0E" w14:textId="5059650A" w:rsidR="00CE6985" w:rsidRPr="00A2485E" w:rsidRDefault="00CA143A">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es-UY"/>
              </w:rPr>
            </w:pPr>
            <w:r w:rsidRPr="00A2485E">
              <w:rPr>
                <w:rFonts w:ascii="Times New Roman" w:eastAsia="Times New Roman" w:hAnsi="Times New Roman" w:cs="Times New Roman"/>
                <w:b/>
                <w:sz w:val="24"/>
                <w:szCs w:val="24"/>
                <w:lang w:val="es-UY"/>
              </w:rPr>
              <w:t xml:space="preserve">Econ. </w:t>
            </w:r>
            <w:r w:rsidR="00A2485E" w:rsidRPr="00A2485E">
              <w:rPr>
                <w:rFonts w:ascii="Times New Roman" w:eastAsia="Times New Roman" w:hAnsi="Times New Roman" w:cs="Times New Roman"/>
                <w:b/>
                <w:sz w:val="24"/>
                <w:szCs w:val="24"/>
                <w:lang w:val="es-UY"/>
              </w:rPr>
              <w:t>Antonio Corrêa de La</w:t>
            </w:r>
            <w:r w:rsidR="00A2485E">
              <w:rPr>
                <w:rFonts w:ascii="Times New Roman" w:eastAsia="Times New Roman" w:hAnsi="Times New Roman" w:cs="Times New Roman"/>
                <w:b/>
                <w:sz w:val="24"/>
                <w:szCs w:val="24"/>
                <w:lang w:val="es-UY"/>
              </w:rPr>
              <w:t>cerda</w:t>
            </w:r>
          </w:p>
          <w:p w14:paraId="7E117E0F" w14:textId="77777777" w:rsidR="00CE6985" w:rsidRPr="00A2485E" w:rsidRDefault="00CA143A">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es-UY"/>
              </w:rPr>
            </w:pPr>
            <w:r w:rsidRPr="00A2485E">
              <w:rPr>
                <w:rFonts w:ascii="Times New Roman" w:eastAsia="Times New Roman" w:hAnsi="Times New Roman" w:cs="Times New Roman"/>
                <w:sz w:val="24"/>
                <w:szCs w:val="24"/>
                <w:lang w:val="es-UY"/>
              </w:rPr>
              <w:t>Presidente do Cofecon</w:t>
            </w:r>
          </w:p>
        </w:tc>
        <w:tc>
          <w:tcPr>
            <w:tcW w:w="4819" w:type="dxa"/>
            <w:shd w:val="clear" w:color="auto" w:fill="auto"/>
          </w:tcPr>
          <w:p w14:paraId="7E117E10" w14:textId="77777777" w:rsidR="00CE6985" w:rsidRPr="003C4021" w:rsidRDefault="00CA143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_______________________________________</w:t>
            </w:r>
          </w:p>
          <w:p w14:paraId="1BA7D265" w14:textId="7F90DD24" w:rsidR="008F4CA0" w:rsidRDefault="0010046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José Luiz Pinheiro Azevedo</w:t>
            </w:r>
            <w:r w:rsidR="008F4CA0" w:rsidRPr="008F4CA0">
              <w:rPr>
                <w:rFonts w:ascii="Times New Roman" w:eastAsia="Times New Roman" w:hAnsi="Times New Roman" w:cs="Times New Roman"/>
                <w:b/>
                <w:sz w:val="24"/>
                <w:szCs w:val="24"/>
              </w:rPr>
              <w:t xml:space="preserve"> </w:t>
            </w:r>
          </w:p>
          <w:p w14:paraId="7E117E12" w14:textId="2C0D7755" w:rsidR="00CE6985" w:rsidRPr="003C4021" w:rsidRDefault="00CA143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Representante Empresa</w:t>
            </w:r>
          </w:p>
        </w:tc>
      </w:tr>
    </w:tbl>
    <w:p w14:paraId="7E117E14" w14:textId="77777777" w:rsidR="00CE6985" w:rsidRPr="003C4021" w:rsidRDefault="00CE6985">
      <w:pPr>
        <w:spacing w:after="0" w:line="240" w:lineRule="auto"/>
        <w:jc w:val="both"/>
        <w:rPr>
          <w:rFonts w:ascii="Times New Roman" w:eastAsia="Times New Roman" w:hAnsi="Times New Roman" w:cs="Times New Roman"/>
          <w:sz w:val="24"/>
          <w:szCs w:val="24"/>
        </w:rPr>
      </w:pPr>
    </w:p>
    <w:tbl>
      <w:tblPr>
        <w:tblStyle w:val="afff8"/>
        <w:tblW w:w="9637" w:type="dxa"/>
        <w:tblInd w:w="0" w:type="dxa"/>
        <w:tblLayout w:type="fixed"/>
        <w:tblLook w:val="0000" w:firstRow="0" w:lastRow="0" w:firstColumn="0" w:lastColumn="0" w:noHBand="0" w:noVBand="0"/>
      </w:tblPr>
      <w:tblGrid>
        <w:gridCol w:w="4818"/>
        <w:gridCol w:w="4819"/>
      </w:tblGrid>
      <w:tr w:rsidR="00CE6985" w:rsidRPr="003C4021" w14:paraId="7E117E1D" w14:textId="77777777">
        <w:tc>
          <w:tcPr>
            <w:tcW w:w="4818" w:type="dxa"/>
            <w:shd w:val="clear" w:color="auto" w:fill="auto"/>
          </w:tcPr>
          <w:p w14:paraId="7E117E15"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Testemunha 1:</w:t>
            </w:r>
          </w:p>
          <w:p w14:paraId="7E117E16"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_______________________________________</w:t>
            </w:r>
          </w:p>
          <w:p w14:paraId="7E117E17"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Nome:</w:t>
            </w:r>
          </w:p>
          <w:p w14:paraId="7E117E18"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CPF:</w:t>
            </w:r>
          </w:p>
        </w:tc>
        <w:tc>
          <w:tcPr>
            <w:tcW w:w="4819" w:type="dxa"/>
            <w:shd w:val="clear" w:color="auto" w:fill="auto"/>
          </w:tcPr>
          <w:p w14:paraId="7E117E19"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Testemunha 2:</w:t>
            </w:r>
          </w:p>
          <w:p w14:paraId="7E117E1A"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_______________________________________</w:t>
            </w:r>
          </w:p>
          <w:p w14:paraId="7E117E1B"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Nome:</w:t>
            </w:r>
          </w:p>
          <w:p w14:paraId="7E117E1C"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CPF:</w:t>
            </w:r>
          </w:p>
        </w:tc>
      </w:tr>
    </w:tbl>
    <w:p w14:paraId="7E117EAF" w14:textId="66BAD237" w:rsidR="00CE6985" w:rsidRDefault="00CE6985" w:rsidP="00582BC1">
      <w:pPr>
        <w:spacing w:after="0" w:line="240" w:lineRule="auto"/>
        <w:jc w:val="both"/>
        <w:rPr>
          <w:rFonts w:ascii="Times New Roman" w:eastAsia="Times New Roman" w:hAnsi="Times New Roman" w:cs="Times New Roman"/>
          <w:sz w:val="24"/>
          <w:szCs w:val="24"/>
        </w:rPr>
      </w:pPr>
    </w:p>
    <w:sectPr w:rsidR="00CE6985" w:rsidSect="008F4CA5">
      <w:headerReference w:type="default" r:id="rId7"/>
      <w:footerReference w:type="default" r:id="rId8"/>
      <w:pgSz w:w="11906" w:h="16838" w:code="9"/>
      <w:pgMar w:top="567" w:right="851" w:bottom="567" w:left="1418" w:header="567" w:footer="567"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7974" w14:textId="77777777" w:rsidR="00CA143A" w:rsidRDefault="00CA143A">
      <w:pPr>
        <w:spacing w:after="0" w:line="240" w:lineRule="auto"/>
      </w:pPr>
      <w:r>
        <w:separator/>
      </w:r>
    </w:p>
  </w:endnote>
  <w:endnote w:type="continuationSeparator" w:id="0">
    <w:p w14:paraId="1B5A30C3" w14:textId="77777777" w:rsidR="00CA143A" w:rsidRDefault="00CA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EB8" w14:textId="268E291D" w:rsidR="00CE6985" w:rsidRDefault="00CA143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C4109">
      <w:rPr>
        <w:rFonts w:ascii="Times New Roman" w:eastAsia="Times New Roman" w:hAnsi="Times New Roman" w:cs="Times New Roman"/>
        <w:noProof/>
        <w:color w:val="000000"/>
        <w:sz w:val="20"/>
        <w:szCs w:val="20"/>
      </w:rPr>
      <w:t>37</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noProof/>
        <w:color w:val="000000"/>
        <w:sz w:val="20"/>
        <w:szCs w:val="20"/>
      </w:rPr>
      <w:drawing>
        <wp:inline distT="0" distB="0" distL="0" distR="0" wp14:anchorId="7E117EC3" wp14:editId="7E117EC4">
          <wp:extent cx="3664800" cy="543600"/>
          <wp:effectExtent l="0" t="0" r="0" b="0"/>
          <wp:docPr id="12" name="image1.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Texto&#10;&#10;Descrição gerada automaticamente"/>
                  <pic:cNvPicPr preferRelativeResize="0"/>
                </pic:nvPicPr>
                <pic:blipFill>
                  <a:blip r:embed="rId1"/>
                  <a:srcRect/>
                  <a:stretch>
                    <a:fillRect/>
                  </a:stretch>
                </pic:blipFill>
                <pic:spPr>
                  <a:xfrm>
                    <a:off x="0" y="0"/>
                    <a:ext cx="3664800" cy="543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2790" w14:textId="77777777" w:rsidR="00CA143A" w:rsidRDefault="00CA143A">
      <w:pPr>
        <w:spacing w:after="0" w:line="240" w:lineRule="auto"/>
      </w:pPr>
      <w:r>
        <w:separator/>
      </w:r>
    </w:p>
  </w:footnote>
  <w:footnote w:type="continuationSeparator" w:id="0">
    <w:p w14:paraId="227A23E3" w14:textId="77777777" w:rsidR="00CA143A" w:rsidRDefault="00CA1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EB6" w14:textId="77777777" w:rsidR="00CE6985" w:rsidRDefault="00CA143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E117EC1" wp14:editId="7E117EC2">
          <wp:extent cx="1364400" cy="8928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4400" cy="892800"/>
                  </a:xfrm>
                  <a:prstGeom prst="rect">
                    <a:avLst/>
                  </a:prstGeom>
                  <a:ln/>
                </pic:spPr>
              </pic:pic>
            </a:graphicData>
          </a:graphic>
        </wp:inline>
      </w:drawing>
    </w:r>
  </w:p>
  <w:p w14:paraId="7E117EB7" w14:textId="77777777" w:rsidR="00CE6985" w:rsidRDefault="00CE69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85"/>
    <w:rsid w:val="00002791"/>
    <w:rsid w:val="00004529"/>
    <w:rsid w:val="000238BE"/>
    <w:rsid w:val="00026666"/>
    <w:rsid w:val="00027819"/>
    <w:rsid w:val="000355B9"/>
    <w:rsid w:val="00040AA1"/>
    <w:rsid w:val="00042CA6"/>
    <w:rsid w:val="00042CB0"/>
    <w:rsid w:val="00043682"/>
    <w:rsid w:val="00044BE2"/>
    <w:rsid w:val="000625A4"/>
    <w:rsid w:val="00070BC2"/>
    <w:rsid w:val="00080000"/>
    <w:rsid w:val="00097515"/>
    <w:rsid w:val="000A47E3"/>
    <w:rsid w:val="000B66D8"/>
    <w:rsid w:val="000D5B05"/>
    <w:rsid w:val="000F395C"/>
    <w:rsid w:val="000F7A88"/>
    <w:rsid w:val="00100462"/>
    <w:rsid w:val="00101251"/>
    <w:rsid w:val="00107953"/>
    <w:rsid w:val="00114AA2"/>
    <w:rsid w:val="00116785"/>
    <w:rsid w:val="0012558D"/>
    <w:rsid w:val="00127B18"/>
    <w:rsid w:val="001366E9"/>
    <w:rsid w:val="00154588"/>
    <w:rsid w:val="00181A42"/>
    <w:rsid w:val="00184C84"/>
    <w:rsid w:val="001A2B4F"/>
    <w:rsid w:val="001A6F49"/>
    <w:rsid w:val="001B6098"/>
    <w:rsid w:val="001E2BD6"/>
    <w:rsid w:val="001F2EF6"/>
    <w:rsid w:val="001F468B"/>
    <w:rsid w:val="002060AE"/>
    <w:rsid w:val="0021028C"/>
    <w:rsid w:val="00224B70"/>
    <w:rsid w:val="00240C39"/>
    <w:rsid w:val="00244DB3"/>
    <w:rsid w:val="002520AD"/>
    <w:rsid w:val="00252F5D"/>
    <w:rsid w:val="002833EE"/>
    <w:rsid w:val="0028492E"/>
    <w:rsid w:val="00287071"/>
    <w:rsid w:val="00287C8D"/>
    <w:rsid w:val="002B3949"/>
    <w:rsid w:val="002C416A"/>
    <w:rsid w:val="002D4297"/>
    <w:rsid w:val="002D530C"/>
    <w:rsid w:val="002F4CCA"/>
    <w:rsid w:val="00306189"/>
    <w:rsid w:val="003075D5"/>
    <w:rsid w:val="00317A45"/>
    <w:rsid w:val="00331805"/>
    <w:rsid w:val="00335C0A"/>
    <w:rsid w:val="003407F8"/>
    <w:rsid w:val="00351999"/>
    <w:rsid w:val="00352F91"/>
    <w:rsid w:val="003538CD"/>
    <w:rsid w:val="00380D2C"/>
    <w:rsid w:val="003B3415"/>
    <w:rsid w:val="003B4426"/>
    <w:rsid w:val="003C4021"/>
    <w:rsid w:val="003E10D7"/>
    <w:rsid w:val="003E6954"/>
    <w:rsid w:val="003F413D"/>
    <w:rsid w:val="003F78FC"/>
    <w:rsid w:val="00401105"/>
    <w:rsid w:val="004024BA"/>
    <w:rsid w:val="00422431"/>
    <w:rsid w:val="00432543"/>
    <w:rsid w:val="00440256"/>
    <w:rsid w:val="004508C8"/>
    <w:rsid w:val="00471D79"/>
    <w:rsid w:val="00487057"/>
    <w:rsid w:val="004A22EA"/>
    <w:rsid w:val="004C6753"/>
    <w:rsid w:val="004D0585"/>
    <w:rsid w:val="004D0AA2"/>
    <w:rsid w:val="004D1C6A"/>
    <w:rsid w:val="004D25A8"/>
    <w:rsid w:val="004D3CC5"/>
    <w:rsid w:val="004D64A9"/>
    <w:rsid w:val="004E16C6"/>
    <w:rsid w:val="004E5DD0"/>
    <w:rsid w:val="005024DE"/>
    <w:rsid w:val="0051231F"/>
    <w:rsid w:val="00520265"/>
    <w:rsid w:val="00555D28"/>
    <w:rsid w:val="005562DD"/>
    <w:rsid w:val="00566DBE"/>
    <w:rsid w:val="0056702F"/>
    <w:rsid w:val="00572EFC"/>
    <w:rsid w:val="00582BC1"/>
    <w:rsid w:val="00584F48"/>
    <w:rsid w:val="005A5EF4"/>
    <w:rsid w:val="005B7D62"/>
    <w:rsid w:val="005D7B03"/>
    <w:rsid w:val="005E672D"/>
    <w:rsid w:val="005F6E68"/>
    <w:rsid w:val="005F7402"/>
    <w:rsid w:val="005F7AAF"/>
    <w:rsid w:val="006022D4"/>
    <w:rsid w:val="006408E9"/>
    <w:rsid w:val="00660E97"/>
    <w:rsid w:val="006634EA"/>
    <w:rsid w:val="00671D4E"/>
    <w:rsid w:val="00672290"/>
    <w:rsid w:val="006861AF"/>
    <w:rsid w:val="006B1570"/>
    <w:rsid w:val="006D20BA"/>
    <w:rsid w:val="006D6C4A"/>
    <w:rsid w:val="00702231"/>
    <w:rsid w:val="00723A4E"/>
    <w:rsid w:val="00730FBC"/>
    <w:rsid w:val="00762E66"/>
    <w:rsid w:val="00767493"/>
    <w:rsid w:val="00777A44"/>
    <w:rsid w:val="00780C73"/>
    <w:rsid w:val="00790278"/>
    <w:rsid w:val="00790905"/>
    <w:rsid w:val="00791058"/>
    <w:rsid w:val="007A13E5"/>
    <w:rsid w:val="007D400B"/>
    <w:rsid w:val="007E0380"/>
    <w:rsid w:val="007F6EEC"/>
    <w:rsid w:val="00804EE8"/>
    <w:rsid w:val="00814DB3"/>
    <w:rsid w:val="008233B2"/>
    <w:rsid w:val="008331AA"/>
    <w:rsid w:val="00833CC5"/>
    <w:rsid w:val="008403EA"/>
    <w:rsid w:val="0087328B"/>
    <w:rsid w:val="008808A8"/>
    <w:rsid w:val="00885608"/>
    <w:rsid w:val="00891DE8"/>
    <w:rsid w:val="00896AED"/>
    <w:rsid w:val="008B05FE"/>
    <w:rsid w:val="008C1803"/>
    <w:rsid w:val="008C49B1"/>
    <w:rsid w:val="008E361A"/>
    <w:rsid w:val="008F33E6"/>
    <w:rsid w:val="008F4CA0"/>
    <w:rsid w:val="008F4CA5"/>
    <w:rsid w:val="008F5FC6"/>
    <w:rsid w:val="00901E29"/>
    <w:rsid w:val="009064FB"/>
    <w:rsid w:val="00914F74"/>
    <w:rsid w:val="00925487"/>
    <w:rsid w:val="0094602C"/>
    <w:rsid w:val="00946E97"/>
    <w:rsid w:val="0097711D"/>
    <w:rsid w:val="009B3AE7"/>
    <w:rsid w:val="009C20A4"/>
    <w:rsid w:val="009D3DC3"/>
    <w:rsid w:val="009D5A08"/>
    <w:rsid w:val="009E3FFB"/>
    <w:rsid w:val="00A16295"/>
    <w:rsid w:val="00A2485E"/>
    <w:rsid w:val="00A43873"/>
    <w:rsid w:val="00A5398B"/>
    <w:rsid w:val="00A6237B"/>
    <w:rsid w:val="00A6699D"/>
    <w:rsid w:val="00A8326C"/>
    <w:rsid w:val="00A867BD"/>
    <w:rsid w:val="00AA216A"/>
    <w:rsid w:val="00AA55C0"/>
    <w:rsid w:val="00AB05E2"/>
    <w:rsid w:val="00AC2754"/>
    <w:rsid w:val="00AC4109"/>
    <w:rsid w:val="00AD7E20"/>
    <w:rsid w:val="00AE785C"/>
    <w:rsid w:val="00AF3A5D"/>
    <w:rsid w:val="00B153E6"/>
    <w:rsid w:val="00B42B83"/>
    <w:rsid w:val="00B438D7"/>
    <w:rsid w:val="00B4591A"/>
    <w:rsid w:val="00B63322"/>
    <w:rsid w:val="00B6671A"/>
    <w:rsid w:val="00B727AC"/>
    <w:rsid w:val="00B764D1"/>
    <w:rsid w:val="00B81CBC"/>
    <w:rsid w:val="00B92FBB"/>
    <w:rsid w:val="00BB6D79"/>
    <w:rsid w:val="00BC4E08"/>
    <w:rsid w:val="00BD11B5"/>
    <w:rsid w:val="00BD407D"/>
    <w:rsid w:val="00BE2168"/>
    <w:rsid w:val="00BE5EBE"/>
    <w:rsid w:val="00C0294C"/>
    <w:rsid w:val="00C15515"/>
    <w:rsid w:val="00C221D9"/>
    <w:rsid w:val="00C26AF0"/>
    <w:rsid w:val="00C56D9C"/>
    <w:rsid w:val="00C640D1"/>
    <w:rsid w:val="00C643AD"/>
    <w:rsid w:val="00C75621"/>
    <w:rsid w:val="00C82F4E"/>
    <w:rsid w:val="00C9602C"/>
    <w:rsid w:val="00CA143A"/>
    <w:rsid w:val="00CA33DE"/>
    <w:rsid w:val="00CB1F58"/>
    <w:rsid w:val="00CE6985"/>
    <w:rsid w:val="00D04889"/>
    <w:rsid w:val="00D06086"/>
    <w:rsid w:val="00D21BE5"/>
    <w:rsid w:val="00D357E7"/>
    <w:rsid w:val="00D53C93"/>
    <w:rsid w:val="00D66041"/>
    <w:rsid w:val="00D73ECE"/>
    <w:rsid w:val="00D81698"/>
    <w:rsid w:val="00DA2F2B"/>
    <w:rsid w:val="00DA39E8"/>
    <w:rsid w:val="00DB1EA6"/>
    <w:rsid w:val="00DC0173"/>
    <w:rsid w:val="00DC159C"/>
    <w:rsid w:val="00DC710E"/>
    <w:rsid w:val="00DD0DD0"/>
    <w:rsid w:val="00DE6834"/>
    <w:rsid w:val="00DF717C"/>
    <w:rsid w:val="00E13DD0"/>
    <w:rsid w:val="00E57518"/>
    <w:rsid w:val="00E63BF5"/>
    <w:rsid w:val="00E74CB9"/>
    <w:rsid w:val="00E934DB"/>
    <w:rsid w:val="00EA1A6B"/>
    <w:rsid w:val="00EC3AE2"/>
    <w:rsid w:val="00ED032E"/>
    <w:rsid w:val="00ED3AAE"/>
    <w:rsid w:val="00ED5885"/>
    <w:rsid w:val="00EE1A52"/>
    <w:rsid w:val="00F028DB"/>
    <w:rsid w:val="00F14098"/>
    <w:rsid w:val="00F359C7"/>
    <w:rsid w:val="00F4514A"/>
    <w:rsid w:val="00F46582"/>
    <w:rsid w:val="00F74282"/>
    <w:rsid w:val="00F80611"/>
    <w:rsid w:val="00F93097"/>
    <w:rsid w:val="00FA4D0C"/>
    <w:rsid w:val="00FB3DF4"/>
    <w:rsid w:val="00FC25E5"/>
    <w:rsid w:val="00FC2719"/>
    <w:rsid w:val="00FC2CA7"/>
    <w:rsid w:val="00FE6A1D"/>
    <w:rsid w:val="00FF1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7554"/>
  <w15:docId w15:val="{40567C49-59E7-493D-B7B3-03D6109D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A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55" w:type="dxa"/>
        <w:left w:w="55" w:type="dxa"/>
        <w:bottom w:w="55" w:type="dxa"/>
        <w:right w:w="55" w:type="dxa"/>
      </w:tblCellMar>
    </w:tblPr>
  </w:style>
  <w:style w:type="table" w:customStyle="1" w:styleId="af5">
    <w:basedOn w:val="TableNormal"/>
    <w:tblPr>
      <w:tblStyleRowBandSize w:val="1"/>
      <w:tblStyleColBandSize w:val="1"/>
      <w:tblCellMar>
        <w:top w:w="55" w:type="dxa"/>
        <w:left w:w="55" w:type="dxa"/>
        <w:bottom w:w="55" w:type="dxa"/>
        <w:right w:w="55" w:type="dxa"/>
      </w:tblCellMar>
    </w:tblPr>
  </w:style>
  <w:style w:type="table" w:customStyle="1" w:styleId="af6">
    <w:basedOn w:val="TableNormal"/>
    <w:tblPr>
      <w:tblStyleRowBandSize w:val="1"/>
      <w:tblStyleColBandSize w:val="1"/>
      <w:tblCellMar>
        <w:top w:w="55" w:type="dxa"/>
        <w:left w:w="55" w:type="dxa"/>
        <w:bottom w:w="55" w:type="dxa"/>
        <w:right w:w="55" w:type="dxa"/>
      </w:tblCellMar>
    </w:tblPr>
  </w:style>
  <w:style w:type="table" w:customStyle="1" w:styleId="af7">
    <w:basedOn w:val="TableNormal"/>
    <w:tblPr>
      <w:tblStyleRowBandSize w:val="1"/>
      <w:tblStyleColBandSize w:val="1"/>
      <w:tblCellMar>
        <w:top w:w="55" w:type="dxa"/>
        <w:left w:w="55" w:type="dxa"/>
        <w:bottom w:w="55" w:type="dxa"/>
        <w:right w:w="55" w:type="dxa"/>
      </w:tblCellMar>
    </w:tblPr>
  </w:style>
  <w:style w:type="table" w:customStyle="1" w:styleId="af8">
    <w:basedOn w:val="TableNormal"/>
    <w:tblPr>
      <w:tblStyleRowBandSize w:val="1"/>
      <w:tblStyleColBandSize w:val="1"/>
      <w:tblCellMar>
        <w:top w:w="55" w:type="dxa"/>
        <w:left w:w="55" w:type="dxa"/>
        <w:bottom w:w="55" w:type="dxa"/>
        <w:right w:w="55" w:type="dxa"/>
      </w:tblCellMar>
    </w:tblPr>
  </w:style>
  <w:style w:type="table" w:customStyle="1" w:styleId="af9">
    <w:basedOn w:val="TableNormal"/>
    <w:tblPr>
      <w:tblStyleRowBandSize w:val="1"/>
      <w:tblStyleColBandSize w:val="1"/>
      <w:tblCellMar>
        <w:top w:w="55" w:type="dxa"/>
        <w:left w:w="55" w:type="dxa"/>
        <w:bottom w:w="55" w:type="dxa"/>
        <w:right w:w="55" w:type="dxa"/>
      </w:tblCellMar>
    </w:tblPr>
  </w:style>
  <w:style w:type="table" w:customStyle="1" w:styleId="afa">
    <w:basedOn w:val="TableNormal"/>
    <w:tblPr>
      <w:tblStyleRowBandSize w:val="1"/>
      <w:tblStyleColBandSize w:val="1"/>
      <w:tblCellMar>
        <w:top w:w="55" w:type="dxa"/>
        <w:left w:w="55" w:type="dxa"/>
        <w:bottom w:w="55" w:type="dxa"/>
        <w:right w:w="55" w:type="dxa"/>
      </w:tblCellMar>
    </w:tblPr>
  </w:style>
  <w:style w:type="table" w:customStyle="1" w:styleId="afb">
    <w:basedOn w:val="TableNormal"/>
    <w:tblPr>
      <w:tblStyleRowBandSize w:val="1"/>
      <w:tblStyleColBandSize w:val="1"/>
      <w:tblCellMar>
        <w:top w:w="55" w:type="dxa"/>
        <w:left w:w="55" w:type="dxa"/>
        <w:bottom w:w="55" w:type="dxa"/>
        <w:right w:w="55" w:type="dxa"/>
      </w:tblCellMar>
    </w:tblPr>
  </w:style>
  <w:style w:type="table" w:customStyle="1" w:styleId="afc">
    <w:basedOn w:val="TableNormal"/>
    <w:tblPr>
      <w:tblStyleRowBandSize w:val="1"/>
      <w:tblStyleColBandSize w:val="1"/>
      <w:tblCellMar>
        <w:top w:w="55" w:type="dxa"/>
        <w:left w:w="55" w:type="dxa"/>
        <w:bottom w:w="55" w:type="dxa"/>
        <w:right w:w="55" w:type="dxa"/>
      </w:tblCellMar>
    </w:tblPr>
  </w:style>
  <w:style w:type="table" w:customStyle="1" w:styleId="afd">
    <w:basedOn w:val="TableNormal"/>
    <w:tblPr>
      <w:tblStyleRowBandSize w:val="1"/>
      <w:tblStyleColBandSize w:val="1"/>
      <w:tblCellMar>
        <w:top w:w="55" w:type="dxa"/>
        <w:left w:w="55" w:type="dxa"/>
        <w:bottom w:w="55" w:type="dxa"/>
        <w:right w:w="55" w:type="dxa"/>
      </w:tblCellMar>
    </w:tblPr>
  </w:style>
  <w:style w:type="table" w:customStyle="1" w:styleId="afe">
    <w:basedOn w:val="TableNormal"/>
    <w:tblPr>
      <w:tblStyleRowBandSize w:val="1"/>
      <w:tblStyleColBandSize w:val="1"/>
      <w:tblCellMar>
        <w:top w:w="55" w:type="dxa"/>
        <w:left w:w="55" w:type="dxa"/>
        <w:bottom w:w="55" w:type="dxa"/>
        <w:right w:w="55" w:type="dxa"/>
      </w:tblCellMar>
    </w:tblPr>
  </w:style>
  <w:style w:type="table" w:customStyle="1" w:styleId="aff">
    <w:basedOn w:val="TableNormal"/>
    <w:tblPr>
      <w:tblStyleRowBandSize w:val="1"/>
      <w:tblStyleColBandSize w:val="1"/>
      <w:tblCellMar>
        <w:top w:w="55" w:type="dxa"/>
        <w:left w:w="55" w:type="dxa"/>
        <w:bottom w:w="55" w:type="dxa"/>
        <w:right w:w="55" w:type="dxa"/>
      </w:tblCellMar>
    </w:tblPr>
  </w:style>
  <w:style w:type="table" w:customStyle="1" w:styleId="aff0">
    <w:basedOn w:val="TableNormal"/>
    <w:tblPr>
      <w:tblStyleRowBandSize w:val="1"/>
      <w:tblStyleColBandSize w:val="1"/>
      <w:tblCellMar>
        <w:top w:w="55" w:type="dxa"/>
        <w:left w:w="55" w:type="dxa"/>
        <w:bottom w:w="55" w:type="dxa"/>
        <w:right w:w="55" w:type="dxa"/>
      </w:tblCellMar>
    </w:tblPr>
  </w:style>
  <w:style w:type="table" w:customStyle="1" w:styleId="aff1">
    <w:basedOn w:val="TableNormal"/>
    <w:tblPr>
      <w:tblStyleRowBandSize w:val="1"/>
      <w:tblStyleColBandSize w:val="1"/>
      <w:tblCellMar>
        <w:top w:w="55" w:type="dxa"/>
        <w:left w:w="55" w:type="dxa"/>
        <w:bottom w:w="55" w:type="dxa"/>
        <w:right w:w="55" w:type="dxa"/>
      </w:tblCellMar>
    </w:tblPr>
  </w:style>
  <w:style w:type="table" w:customStyle="1" w:styleId="aff2">
    <w:basedOn w:val="TableNormal"/>
    <w:tblPr>
      <w:tblStyleRowBandSize w:val="1"/>
      <w:tblStyleColBandSize w:val="1"/>
      <w:tblCellMar>
        <w:top w:w="55" w:type="dxa"/>
        <w:left w:w="55" w:type="dxa"/>
        <w:bottom w:w="55" w:type="dxa"/>
        <w:right w:w="55" w:type="dxa"/>
      </w:tblCellMar>
    </w:tblPr>
  </w:style>
  <w:style w:type="table" w:customStyle="1" w:styleId="aff3">
    <w:basedOn w:val="TableNormal"/>
    <w:tblPr>
      <w:tblStyleRowBandSize w:val="1"/>
      <w:tblStyleColBandSize w:val="1"/>
      <w:tblCellMar>
        <w:top w:w="55" w:type="dxa"/>
        <w:left w:w="55" w:type="dxa"/>
        <w:bottom w:w="55" w:type="dxa"/>
        <w:right w:w="55" w:type="dxa"/>
      </w:tblCellMar>
    </w:tblPr>
  </w:style>
  <w:style w:type="table" w:customStyle="1" w:styleId="aff4">
    <w:basedOn w:val="TableNormal"/>
    <w:tblPr>
      <w:tblStyleRowBandSize w:val="1"/>
      <w:tblStyleColBandSize w:val="1"/>
      <w:tblCellMar>
        <w:top w:w="55" w:type="dxa"/>
        <w:left w:w="55" w:type="dxa"/>
        <w:bottom w:w="55" w:type="dxa"/>
        <w:right w:w="55" w:type="dxa"/>
      </w:tblCellMar>
    </w:tblPr>
  </w:style>
  <w:style w:type="table" w:customStyle="1" w:styleId="aff5">
    <w:basedOn w:val="TableNormal"/>
    <w:tblPr>
      <w:tblStyleRowBandSize w:val="1"/>
      <w:tblStyleColBandSize w:val="1"/>
      <w:tblCellMar>
        <w:top w:w="55" w:type="dxa"/>
        <w:left w:w="55" w:type="dxa"/>
        <w:bottom w:w="55" w:type="dxa"/>
        <w:right w:w="55" w:type="dxa"/>
      </w:tblCellMar>
    </w:tblPr>
  </w:style>
  <w:style w:type="table" w:customStyle="1" w:styleId="aff6">
    <w:basedOn w:val="TableNormal"/>
    <w:tblPr>
      <w:tblStyleRowBandSize w:val="1"/>
      <w:tblStyleColBandSize w:val="1"/>
      <w:tblCellMar>
        <w:top w:w="55" w:type="dxa"/>
        <w:left w:w="55" w:type="dxa"/>
        <w:bottom w:w="55" w:type="dxa"/>
        <w:right w:w="55" w:type="dxa"/>
      </w:tblCellMar>
    </w:tblPr>
  </w:style>
  <w:style w:type="table" w:customStyle="1" w:styleId="aff7">
    <w:basedOn w:val="TableNormal"/>
    <w:tblPr>
      <w:tblStyleRowBandSize w:val="1"/>
      <w:tblStyleColBandSize w:val="1"/>
      <w:tblCellMar>
        <w:top w:w="55" w:type="dxa"/>
        <w:left w:w="55" w:type="dxa"/>
        <w:bottom w:w="55" w:type="dxa"/>
        <w:right w:w="55" w:type="dxa"/>
      </w:tblCellMar>
    </w:tblPr>
  </w:style>
  <w:style w:type="table" w:customStyle="1" w:styleId="aff8">
    <w:basedOn w:val="TableNormal"/>
    <w:tblPr>
      <w:tblStyleRowBandSize w:val="1"/>
      <w:tblStyleColBandSize w:val="1"/>
      <w:tblCellMar>
        <w:top w:w="55" w:type="dxa"/>
        <w:left w:w="55" w:type="dxa"/>
        <w:bottom w:w="55" w:type="dxa"/>
        <w:right w:w="55" w:type="dxa"/>
      </w:tblCellMar>
    </w:tblPr>
  </w:style>
  <w:style w:type="table" w:customStyle="1" w:styleId="aff9">
    <w:basedOn w:val="TableNormal"/>
    <w:tblPr>
      <w:tblStyleRowBandSize w:val="1"/>
      <w:tblStyleColBandSize w:val="1"/>
      <w:tblCellMar>
        <w:top w:w="55" w:type="dxa"/>
        <w:left w:w="55" w:type="dxa"/>
        <w:bottom w:w="55" w:type="dxa"/>
        <w:right w:w="55" w:type="dxa"/>
      </w:tblCellMar>
    </w:tblPr>
  </w:style>
  <w:style w:type="table" w:customStyle="1" w:styleId="affa">
    <w:basedOn w:val="TableNormal"/>
    <w:tblPr>
      <w:tblStyleRowBandSize w:val="1"/>
      <w:tblStyleColBandSize w:val="1"/>
      <w:tblCellMar>
        <w:top w:w="55" w:type="dxa"/>
        <w:left w:w="55" w:type="dxa"/>
        <w:bottom w:w="55" w:type="dxa"/>
        <w:right w:w="55" w:type="dxa"/>
      </w:tblCellMar>
    </w:tblPr>
  </w:style>
  <w:style w:type="table" w:customStyle="1" w:styleId="affb">
    <w:basedOn w:val="TableNormal"/>
    <w:tblPr>
      <w:tblStyleRowBandSize w:val="1"/>
      <w:tblStyleColBandSize w:val="1"/>
      <w:tblCellMar>
        <w:top w:w="55" w:type="dxa"/>
        <w:left w:w="55" w:type="dxa"/>
        <w:bottom w:w="55" w:type="dxa"/>
        <w:right w:w="55" w:type="dxa"/>
      </w:tblCellMar>
    </w:tblPr>
  </w:style>
  <w:style w:type="table" w:customStyle="1" w:styleId="affc">
    <w:basedOn w:val="TableNormal"/>
    <w:tblPr>
      <w:tblStyleRowBandSize w:val="1"/>
      <w:tblStyleColBandSize w:val="1"/>
      <w:tblCellMar>
        <w:top w:w="55" w:type="dxa"/>
        <w:left w:w="55" w:type="dxa"/>
        <w:bottom w:w="55" w:type="dxa"/>
        <w:right w:w="55" w:type="dxa"/>
      </w:tblCellMar>
    </w:tblPr>
  </w:style>
  <w:style w:type="table" w:customStyle="1" w:styleId="affd">
    <w:basedOn w:val="TableNormal"/>
    <w:tblPr>
      <w:tblStyleRowBandSize w:val="1"/>
      <w:tblStyleColBandSize w:val="1"/>
      <w:tblCellMar>
        <w:top w:w="55" w:type="dxa"/>
        <w:left w:w="55" w:type="dxa"/>
        <w:bottom w:w="55" w:type="dxa"/>
        <w:right w:w="55" w:type="dxa"/>
      </w:tblCellMar>
    </w:tblPr>
  </w:style>
  <w:style w:type="table" w:customStyle="1" w:styleId="affe">
    <w:basedOn w:val="TableNormal"/>
    <w:tblPr>
      <w:tblStyleRowBandSize w:val="1"/>
      <w:tblStyleColBandSize w:val="1"/>
      <w:tblCellMar>
        <w:top w:w="55" w:type="dxa"/>
        <w:left w:w="55" w:type="dxa"/>
        <w:bottom w:w="55" w:type="dxa"/>
        <w:right w:w="5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top w:w="55" w:type="dxa"/>
        <w:left w:w="55" w:type="dxa"/>
        <w:bottom w:w="55" w:type="dxa"/>
        <w:right w:w="55" w:type="dxa"/>
      </w:tblCellMar>
    </w:tblPr>
  </w:style>
  <w:style w:type="table" w:customStyle="1" w:styleId="afff3">
    <w:basedOn w:val="TableNormal"/>
    <w:tblPr>
      <w:tblStyleRowBandSize w:val="1"/>
      <w:tblStyleColBandSize w:val="1"/>
      <w:tblCellMar>
        <w:top w:w="55" w:type="dxa"/>
        <w:left w:w="55" w:type="dxa"/>
        <w:bottom w:w="55" w:type="dxa"/>
        <w:right w:w="55" w:type="dxa"/>
      </w:tblCellMar>
    </w:tblPr>
  </w:style>
  <w:style w:type="table" w:customStyle="1" w:styleId="afff4">
    <w:basedOn w:val="TableNormal"/>
    <w:tblPr>
      <w:tblStyleRowBandSize w:val="1"/>
      <w:tblStyleColBandSize w:val="1"/>
      <w:tblCellMar>
        <w:top w:w="55" w:type="dxa"/>
        <w:left w:w="55" w:type="dxa"/>
        <w:bottom w:w="55" w:type="dxa"/>
        <w:right w:w="55" w:type="dxa"/>
      </w:tblCellMar>
    </w:tblPr>
  </w:style>
  <w:style w:type="table" w:customStyle="1" w:styleId="afff5">
    <w:basedOn w:val="TableNormal"/>
    <w:tblPr>
      <w:tblStyleRowBandSize w:val="1"/>
      <w:tblStyleColBandSize w:val="1"/>
      <w:tblCellMar>
        <w:top w:w="55" w:type="dxa"/>
        <w:left w:w="55" w:type="dxa"/>
        <w:bottom w:w="55" w:type="dxa"/>
        <w:right w:w="55" w:type="dxa"/>
      </w:tblCellMar>
    </w:tblPr>
  </w:style>
  <w:style w:type="table" w:customStyle="1" w:styleId="afff6">
    <w:basedOn w:val="TableNormal"/>
    <w:tblPr>
      <w:tblStyleRowBandSize w:val="1"/>
      <w:tblStyleColBandSize w:val="1"/>
      <w:tblCellMar>
        <w:top w:w="55" w:type="dxa"/>
        <w:left w:w="55" w:type="dxa"/>
        <w:bottom w:w="55" w:type="dxa"/>
        <w:right w:w="55" w:type="dxa"/>
      </w:tblCellMar>
    </w:tblPr>
  </w:style>
  <w:style w:type="table" w:customStyle="1" w:styleId="afff7">
    <w:basedOn w:val="TableNormal"/>
    <w:tblPr>
      <w:tblStyleRowBandSize w:val="1"/>
      <w:tblStyleColBandSize w:val="1"/>
      <w:tblCellMar>
        <w:top w:w="55" w:type="dxa"/>
        <w:left w:w="55" w:type="dxa"/>
        <w:bottom w:w="55" w:type="dxa"/>
        <w:right w:w="55" w:type="dxa"/>
      </w:tblCellMar>
    </w:tblPr>
  </w:style>
  <w:style w:type="table" w:customStyle="1" w:styleId="afff8">
    <w:basedOn w:val="TableNormal"/>
    <w:tblPr>
      <w:tblStyleRowBandSize w:val="1"/>
      <w:tblStyleColBandSize w:val="1"/>
      <w:tblCellMar>
        <w:top w:w="55" w:type="dxa"/>
        <w:left w:w="55" w:type="dxa"/>
        <w:bottom w:w="55" w:type="dxa"/>
        <w:right w:w="55" w:type="dxa"/>
      </w:tblCellMar>
    </w:tblPr>
  </w:style>
  <w:style w:type="table" w:customStyle="1" w:styleId="afff9">
    <w:basedOn w:val="TableNormal"/>
    <w:tblPr>
      <w:tblStyleRowBandSize w:val="1"/>
      <w:tblStyleColBandSize w:val="1"/>
      <w:tblCellMar>
        <w:left w:w="103"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0B66D8"/>
    <w:rPr>
      <w:sz w:val="16"/>
      <w:szCs w:val="16"/>
    </w:rPr>
  </w:style>
  <w:style w:type="paragraph" w:styleId="PargrafodaLista">
    <w:name w:val="List Paragraph"/>
    <w:basedOn w:val="Normal"/>
    <w:uiPriority w:val="34"/>
    <w:qFormat/>
    <w:rsid w:val="000B66D8"/>
    <w:pPr>
      <w:spacing w:after="0" w:line="240" w:lineRule="auto"/>
      <w:ind w:left="720"/>
      <w:contextualSpacing/>
      <w:jc w:val="both"/>
    </w:pPr>
    <w:rPr>
      <w:rFonts w:ascii="Times New Roman" w:eastAsia="Times New Roman" w:hAnsi="Times New Roman" w:cs="Times New Roman"/>
      <w:color w:val="00000A"/>
      <w:sz w:val="24"/>
      <w:szCs w:val="24"/>
      <w:lang w:val="pt-BR"/>
    </w:rPr>
  </w:style>
  <w:style w:type="character" w:styleId="Hyperlink">
    <w:name w:val="Hyperlink"/>
    <w:basedOn w:val="Fontepargpadro"/>
    <w:uiPriority w:val="99"/>
    <w:unhideWhenUsed/>
    <w:rsid w:val="008E361A"/>
    <w:rPr>
      <w:color w:val="0000FF" w:themeColor="hyperlink"/>
      <w:u w:val="single"/>
    </w:rPr>
  </w:style>
  <w:style w:type="character" w:styleId="MenoPendente">
    <w:name w:val="Unresolved Mention"/>
    <w:basedOn w:val="Fontepargpadro"/>
    <w:uiPriority w:val="99"/>
    <w:semiHidden/>
    <w:unhideWhenUsed/>
    <w:rsid w:val="00BD407D"/>
    <w:rPr>
      <w:color w:val="605E5C"/>
      <w:shd w:val="clear" w:color="auto" w:fill="E1DFDD"/>
    </w:rPr>
  </w:style>
  <w:style w:type="table" w:styleId="Tabelacomgrade">
    <w:name w:val="Table Grid"/>
    <w:basedOn w:val="Tabelanormal"/>
    <w:uiPriority w:val="39"/>
    <w:rsid w:val="0006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7125">
      <w:bodyDiv w:val="1"/>
      <w:marLeft w:val="0"/>
      <w:marRight w:val="0"/>
      <w:marTop w:val="0"/>
      <w:marBottom w:val="0"/>
      <w:divBdr>
        <w:top w:val="none" w:sz="0" w:space="0" w:color="auto"/>
        <w:left w:val="none" w:sz="0" w:space="0" w:color="auto"/>
        <w:bottom w:val="none" w:sz="0" w:space="0" w:color="auto"/>
        <w:right w:val="none" w:sz="0" w:space="0" w:color="auto"/>
      </w:divBdr>
    </w:div>
    <w:div w:id="398678688">
      <w:bodyDiv w:val="1"/>
      <w:marLeft w:val="0"/>
      <w:marRight w:val="0"/>
      <w:marTop w:val="0"/>
      <w:marBottom w:val="0"/>
      <w:divBdr>
        <w:top w:val="none" w:sz="0" w:space="0" w:color="auto"/>
        <w:left w:val="none" w:sz="0" w:space="0" w:color="auto"/>
        <w:bottom w:val="none" w:sz="0" w:space="0" w:color="auto"/>
        <w:right w:val="none" w:sz="0" w:space="0" w:color="auto"/>
      </w:divBdr>
    </w:div>
    <w:div w:id="1406879908">
      <w:bodyDiv w:val="1"/>
      <w:marLeft w:val="0"/>
      <w:marRight w:val="0"/>
      <w:marTop w:val="0"/>
      <w:marBottom w:val="0"/>
      <w:divBdr>
        <w:top w:val="none" w:sz="0" w:space="0" w:color="auto"/>
        <w:left w:val="none" w:sz="0" w:space="0" w:color="auto"/>
        <w:bottom w:val="none" w:sz="0" w:space="0" w:color="auto"/>
        <w:right w:val="none" w:sz="0" w:space="0" w:color="auto"/>
      </w:divBdr>
    </w:div>
    <w:div w:id="1411345980">
      <w:bodyDiv w:val="1"/>
      <w:marLeft w:val="0"/>
      <w:marRight w:val="0"/>
      <w:marTop w:val="0"/>
      <w:marBottom w:val="0"/>
      <w:divBdr>
        <w:top w:val="none" w:sz="0" w:space="0" w:color="auto"/>
        <w:left w:val="none" w:sz="0" w:space="0" w:color="auto"/>
        <w:bottom w:val="none" w:sz="0" w:space="0" w:color="auto"/>
        <w:right w:val="none" w:sz="0" w:space="0" w:color="auto"/>
      </w:divBdr>
    </w:div>
    <w:div w:id="1524588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tosjlevento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1841</Words>
  <Characters>9943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 de Souza Barbosa</dc:creator>
  <cp:lastModifiedBy>Ana Claudia Ramos Pinto</cp:lastModifiedBy>
  <cp:revision>10</cp:revision>
  <cp:lastPrinted>2022-10-28T12:10:00Z</cp:lastPrinted>
  <dcterms:created xsi:type="dcterms:W3CDTF">2022-12-12T17:01:00Z</dcterms:created>
  <dcterms:modified xsi:type="dcterms:W3CDTF">2022-12-16T11:30:00Z</dcterms:modified>
</cp:coreProperties>
</file>